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788" w:rsidRDefault="00021788" w:rsidP="000B06ED">
      <w:pPr>
        <w:spacing w:after="0" w:line="240" w:lineRule="auto"/>
        <w:jc w:val="right"/>
        <w:rPr>
          <w:rFonts w:ascii="Times New Roman" w:hAnsi="Times New Roman"/>
          <w:b/>
        </w:rPr>
      </w:pPr>
    </w:p>
    <w:p w:rsidR="00021788" w:rsidRDefault="00021788" w:rsidP="000B06ED">
      <w:pPr>
        <w:spacing w:after="0" w:line="240" w:lineRule="auto"/>
        <w:jc w:val="right"/>
        <w:rPr>
          <w:rFonts w:ascii="Times New Roman" w:hAnsi="Times New Roman"/>
          <w:b/>
        </w:rPr>
      </w:pPr>
      <w:r w:rsidRPr="00BE3426">
        <w:rPr>
          <w:rFonts w:ascii="Times New Roman" w:hAnsi="Times New Roman"/>
          <w:b/>
        </w:rPr>
        <w:t>Tabella comparazione Regolamenti 2014-2020 / 2007-2013</w:t>
      </w:r>
    </w:p>
    <w:p w:rsidR="00021788" w:rsidRDefault="00021788" w:rsidP="000B06ED">
      <w:pPr>
        <w:spacing w:after="0" w:line="240" w:lineRule="auto"/>
        <w:jc w:val="right"/>
        <w:rPr>
          <w:rFonts w:ascii="Times New Roman" w:hAnsi="Times New Roman"/>
          <w:b/>
        </w:rPr>
      </w:pPr>
    </w:p>
    <w:p w:rsidR="00021788" w:rsidRPr="00BE3426" w:rsidRDefault="00021788" w:rsidP="000B06ED">
      <w:pPr>
        <w:spacing w:after="0" w:line="240" w:lineRule="auto"/>
        <w:jc w:val="right"/>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92"/>
        <w:gridCol w:w="7371"/>
      </w:tblGrid>
      <w:tr w:rsidR="00021788" w:rsidRPr="005B4716" w:rsidTr="002435A2">
        <w:tc>
          <w:tcPr>
            <w:tcW w:w="7792" w:type="dxa"/>
            <w:shd w:val="clear" w:color="auto" w:fill="BDD6EE"/>
          </w:tcPr>
          <w:p w:rsidR="00021788" w:rsidRDefault="00021788" w:rsidP="000B06ED">
            <w:pPr>
              <w:spacing w:after="0" w:line="240" w:lineRule="auto"/>
              <w:jc w:val="center"/>
              <w:rPr>
                <w:rFonts w:ascii="Times New Roman" w:hAnsi="Times New Roman"/>
                <w:b/>
                <w:sz w:val="20"/>
                <w:szCs w:val="20"/>
              </w:rPr>
            </w:pPr>
          </w:p>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NUOVO REGOLAMENTO recante DISPOSIZIONI COMUNI [2014-2020]</w:t>
            </w:r>
          </w:p>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Regolamento UE 1303/2013 del Parlamento e del Consiglio</w:t>
            </w:r>
          </w:p>
        </w:tc>
        <w:tc>
          <w:tcPr>
            <w:tcW w:w="7371" w:type="dxa"/>
            <w:shd w:val="clear" w:color="auto" w:fill="C6D9F1"/>
          </w:tcPr>
          <w:p w:rsidR="00021788" w:rsidRDefault="00021788" w:rsidP="000B06ED">
            <w:pPr>
              <w:spacing w:after="0" w:line="240" w:lineRule="auto"/>
              <w:jc w:val="center"/>
              <w:rPr>
                <w:rFonts w:ascii="Times New Roman" w:hAnsi="Times New Roman"/>
                <w:b/>
                <w:sz w:val="20"/>
                <w:szCs w:val="20"/>
              </w:rPr>
            </w:pPr>
          </w:p>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REGOLAMENTO recante DISPOSIZIONI GENERALI [2007-2013]</w:t>
            </w:r>
          </w:p>
          <w:p w:rsidR="00021788"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Regolamento CE 1083/2006 del Consiglio</w:t>
            </w:r>
          </w:p>
          <w:p w:rsidR="00021788" w:rsidRPr="005B4716" w:rsidRDefault="00021788" w:rsidP="000B06ED">
            <w:pPr>
              <w:spacing w:after="0" w:line="240" w:lineRule="auto"/>
              <w:jc w:val="center"/>
              <w:rPr>
                <w:rFonts w:ascii="Times New Roman" w:hAnsi="Times New Roman"/>
                <w:b/>
                <w:sz w:val="20"/>
                <w:szCs w:val="20"/>
              </w:rPr>
            </w:pPr>
          </w:p>
        </w:tc>
      </w:tr>
      <w:tr w:rsidR="00021788" w:rsidRPr="005B4716" w:rsidTr="002435A2">
        <w:tc>
          <w:tcPr>
            <w:tcW w:w="7792" w:type="dxa"/>
          </w:tcPr>
          <w:p w:rsidR="00021788" w:rsidRPr="00A70DC2" w:rsidRDefault="00021788" w:rsidP="000B06ED">
            <w:pPr>
              <w:spacing w:after="0" w:line="240" w:lineRule="auto"/>
              <w:jc w:val="both"/>
              <w:rPr>
                <w:rFonts w:ascii="Times New Roman" w:hAnsi="Times New Roman"/>
                <w:b/>
                <w:i/>
                <w:sz w:val="20"/>
                <w:szCs w:val="20"/>
              </w:rPr>
            </w:pPr>
            <w:r w:rsidRPr="00A70DC2">
              <w:rPr>
                <w:rFonts w:ascii="Times New Roman" w:hAnsi="Times New Roman"/>
                <w:b/>
                <w:i/>
                <w:sz w:val="20"/>
                <w:szCs w:val="20"/>
              </w:rPr>
              <w:t>Articolo 65</w:t>
            </w:r>
          </w:p>
          <w:p w:rsidR="00021788" w:rsidRDefault="00021788" w:rsidP="000B06ED">
            <w:pPr>
              <w:spacing w:after="0" w:line="240" w:lineRule="auto"/>
              <w:jc w:val="both"/>
              <w:rPr>
                <w:rFonts w:ascii="Times New Roman" w:hAnsi="Times New Roman"/>
                <w:b/>
                <w:i/>
                <w:sz w:val="20"/>
                <w:szCs w:val="20"/>
              </w:rPr>
            </w:pPr>
            <w:r w:rsidRPr="00A70DC2">
              <w:rPr>
                <w:rFonts w:ascii="Times New Roman" w:hAnsi="Times New Roman"/>
                <w:b/>
                <w:i/>
                <w:sz w:val="20"/>
                <w:szCs w:val="20"/>
              </w:rPr>
              <w:t>Ammissibilità</w:t>
            </w:r>
          </w:p>
          <w:p w:rsidR="00021788" w:rsidRPr="005B4716" w:rsidRDefault="00021788" w:rsidP="000B06ED">
            <w:pPr>
              <w:spacing w:after="0" w:line="240" w:lineRule="auto"/>
              <w:jc w:val="both"/>
              <w:rPr>
                <w:rFonts w:ascii="Times New Roman" w:hAnsi="Times New Roman"/>
                <w:b/>
                <w:i/>
                <w:sz w:val="20"/>
                <w:szCs w:val="20"/>
              </w:rPr>
            </w:pPr>
          </w:p>
        </w:tc>
        <w:tc>
          <w:tcPr>
            <w:tcW w:w="7371" w:type="dxa"/>
          </w:tcPr>
          <w:p w:rsidR="00021788" w:rsidRPr="005B4716" w:rsidRDefault="00021788" w:rsidP="000B06ED">
            <w:pPr>
              <w:spacing w:after="0" w:line="240" w:lineRule="auto"/>
              <w:jc w:val="both"/>
              <w:rPr>
                <w:rFonts w:ascii="Times New Roman" w:hAnsi="Times New Roman"/>
                <w:b/>
                <w:sz w:val="20"/>
                <w:szCs w:val="20"/>
              </w:rPr>
            </w:pPr>
            <w:r w:rsidRPr="005B4716">
              <w:rPr>
                <w:rFonts w:ascii="Times New Roman" w:hAnsi="Times New Roman"/>
                <w:b/>
                <w:sz w:val="20"/>
                <w:szCs w:val="20"/>
              </w:rPr>
              <w:t>Articolo 56</w:t>
            </w:r>
          </w:p>
          <w:p w:rsidR="00021788" w:rsidRPr="005B4716" w:rsidRDefault="00021788" w:rsidP="000B06ED">
            <w:pPr>
              <w:spacing w:after="0" w:line="240" w:lineRule="auto"/>
              <w:jc w:val="both"/>
              <w:rPr>
                <w:rFonts w:ascii="Times New Roman" w:hAnsi="Times New Roman"/>
                <w:b/>
                <w:sz w:val="20"/>
                <w:szCs w:val="20"/>
              </w:rPr>
            </w:pPr>
            <w:r w:rsidRPr="005B4716">
              <w:rPr>
                <w:rFonts w:ascii="Times New Roman" w:hAnsi="Times New Roman"/>
                <w:b/>
                <w:sz w:val="20"/>
                <w:szCs w:val="20"/>
              </w:rPr>
              <w:t>Ammissibilità delle spese</w:t>
            </w: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1. L’ammissibilità delle spese è determinata in base a norme nazionali, fatte salve norme specifiche previste nel presente regolamento o nelle norme specifiche di ciascun fondo, o sulla base degli stessi.</w:t>
            </w:r>
          </w:p>
        </w:tc>
        <w:tc>
          <w:tcPr>
            <w:tcW w:w="7371"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4. Le norme in materia di ammissibilità delle spese sono stabilite a livello nazionale, fatte salve le eccezioni previste dai regolamenti specifici per ciascun Fondo. Esse riguardano la totalità delle spese dichiarate nell'ambito del programma operativo.</w:t>
            </w: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2. Le spese sono ammissibili a una partecipazione dei fondi SIE se sono state sostenute da un beneficiario e pagate tra la data di presentazione del programma alla Commissione o il 1° gennaio 2014, se anteriore, e il 31 dicembre 2023. Inoltre le spese sono ammissibili per una partecipazione del FEASR solo se l'aiuto in questione è di fatto pagato dall'organismo pagatore tra il 1 o gennaio 2014 e il 31 dicembre 2022.</w:t>
            </w:r>
          </w:p>
        </w:tc>
        <w:tc>
          <w:tcPr>
            <w:tcW w:w="7371"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1. Le spese, comprese quelle per i grandi progetti, sono ammissibili per una partecipazione dei Fondi se sono state effettivamente pagate tra la data di</w:t>
            </w:r>
            <w:r>
              <w:rPr>
                <w:rFonts w:ascii="Times New Roman" w:hAnsi="Times New Roman"/>
                <w:sz w:val="20"/>
                <w:szCs w:val="20"/>
              </w:rPr>
              <w:t xml:space="preserve"> </w:t>
            </w:r>
            <w:r w:rsidRPr="005B4716">
              <w:rPr>
                <w:rFonts w:ascii="Times New Roman" w:hAnsi="Times New Roman"/>
                <w:sz w:val="20"/>
                <w:szCs w:val="20"/>
              </w:rPr>
              <w:t>presentazione dei programmi operativi alla Commissione o il 1° gennaio 2007, se anteriore, e il 31 dicembre 2015. Le operazioni non devono essere state ultimate prima della data di inizio dell'ammissibilità.</w:t>
            </w: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smartTag w:uri="urn:schemas-microsoft-com:office:smarttags" w:element="metricconverter">
              <w:smartTagPr>
                <w:attr w:name="ProductID" w:val="3. In"/>
              </w:smartTagPr>
              <w:r w:rsidRPr="005B4716">
                <w:rPr>
                  <w:rFonts w:ascii="Times New Roman" w:hAnsi="Times New Roman"/>
                  <w:sz w:val="20"/>
                  <w:szCs w:val="20"/>
                </w:rPr>
                <w:t>3. In</w:t>
              </w:r>
            </w:smartTag>
            <w:r w:rsidRPr="005B4716">
              <w:rPr>
                <w:rFonts w:ascii="Times New Roman" w:hAnsi="Times New Roman"/>
                <w:sz w:val="20"/>
                <w:szCs w:val="20"/>
              </w:rPr>
              <w:t xml:space="preserve"> deroga al paragrafo 2, le spese per l'IOG sono ammissibili dal 1 o settembre 2013.</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4. Nel caso di costi rimborsati a norma dell'articolo 67, paragrafo 1, primo comma, lettere b) e c), le azioni che costituiscono la base per il rimborso si svolgono tra il 1 o gennaio 2014 e il 31 dicembre 2023.</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smartTag w:uri="urn:schemas-microsoft-com:office:smarttags" w:element="metricconverter">
              <w:smartTagPr>
                <w:attr w:name="ProductID" w:val="5. In"/>
              </w:smartTagPr>
              <w:r w:rsidRPr="005B4716">
                <w:rPr>
                  <w:rFonts w:ascii="Times New Roman" w:hAnsi="Times New Roman"/>
                  <w:sz w:val="20"/>
                  <w:szCs w:val="20"/>
                </w:rPr>
                <w:t>5. In</w:t>
              </w:r>
            </w:smartTag>
            <w:r w:rsidRPr="005B4716">
              <w:rPr>
                <w:rFonts w:ascii="Times New Roman" w:hAnsi="Times New Roman"/>
                <w:sz w:val="20"/>
                <w:szCs w:val="20"/>
              </w:rPr>
              <w:t xml:space="preserve"> deroga al paragrafo 4, la data di inizio in relazione alle spese rimborsate a norma dell'articolo 67, paragrafo 1, primo comma, lettera b) e c), per azioni a titolo dell'IOG è fissata al 1 o settembre 2013.</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6. Non sono selezionati per il sostegno dei fondi SIE le operazioni portate materialmente a termine o completamente attuate prima che la domanda di finanziamento nell'ambito del programma sia presentata dal beneficiario all'autorità di gestione, a prescindere dal fatto che tutti i relativi pagamenti siano stati effettuati dal beneficiario.</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7. Il presente articolo lascia impregiudicate le norme sull'ammissibilità dell'assistenza tecnica su iniziativa della Commissione di cui all'articolo 58.</w:t>
            </w:r>
          </w:p>
        </w:tc>
        <w:tc>
          <w:tcPr>
            <w:tcW w:w="7371"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5. Il presente articolo lascia impregiudicate le spese di cui all'articolo 45.</w:t>
            </w:r>
          </w:p>
        </w:tc>
      </w:tr>
      <w:tr w:rsidR="00021788" w:rsidRPr="005B4716" w:rsidTr="002435A2">
        <w:tc>
          <w:tcPr>
            <w:tcW w:w="7792" w:type="dxa"/>
          </w:tcPr>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8. Il presente articolo si applica alle operazioni che generano entrate nette nel corso della loro attuazione e ai quali non si applica l</w:t>
            </w:r>
            <w:r w:rsidR="00F95391">
              <w:rPr>
                <w:rFonts w:ascii="Times New Roman" w:hAnsi="Times New Roman"/>
                <w:sz w:val="20"/>
                <w:szCs w:val="20"/>
              </w:rPr>
              <w:t>’</w:t>
            </w:r>
            <w:r w:rsidRPr="005B4716">
              <w:rPr>
                <w:rFonts w:ascii="Times New Roman" w:hAnsi="Times New Roman"/>
                <w:sz w:val="20"/>
                <w:szCs w:val="20"/>
              </w:rPr>
              <w:t xml:space="preserve">articolo 61, paragrafi da </w:t>
            </w:r>
            <w:smartTag w:uri="urn:schemas-microsoft-com:office:smarttags" w:element="metricconverter">
              <w:smartTagPr>
                <w:attr w:name="ProductID" w:val="1 a"/>
              </w:smartTagPr>
              <w:r w:rsidRPr="005B4716">
                <w:rPr>
                  <w:rFonts w:ascii="Times New Roman" w:hAnsi="Times New Roman"/>
                  <w:sz w:val="20"/>
                  <w:szCs w:val="20"/>
                </w:rPr>
                <w:t>1 a</w:t>
              </w:r>
            </w:smartTag>
            <w:r w:rsidRPr="005B4716">
              <w:rPr>
                <w:rFonts w:ascii="Times New Roman" w:hAnsi="Times New Roman"/>
                <w:sz w:val="20"/>
                <w:szCs w:val="20"/>
              </w:rPr>
              <w:t xml:space="preserve"> 6.</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Le spese ammissibili dell'operazione da cofinanziare attraverso i fondi SIE sono ridotte delle entrate nette non considerate al momento dell'approvazione dell'operazione e generate direttamente solo durante la sua attuazione, non oltre la domanda del pagamento del saldo presentata dal beneficiario. Qualora non tutti i costi siano ammissibili al cofinanziamento, le entrate nette sono imputate con calcolo pro rata alla parte dei costi ammissibili e a quella dei costi non ammissibili.</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Il presente paragrafo non si applica: </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lastRenderedPageBreak/>
              <w:t>a) all'assistenza tecnica;</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b) agli strumenti finanziari; </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c) all'assistenza rimborsabile soggetta a obbligo di rimborso integrale; </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d) ai premi; </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e) alle operazioni soggetti alle norme in materia di aiuti di Stato; </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f) alle operazioni per le quali il sostegno pubblico assume la forma di somme forfettarie o standard di costi unitari, purché si sia tenuto conto ex ante delle entrate nette;</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g) alle operazioni attuati nell'ambito di un piano di azione congiunto, purché si sia tenuto conto ex ante delle entrate nette; </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h) alle operazioni per le quali gli importi o i tassi di sostegno sono definiti nell'allegato II del regolamento FEASR; o</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i) alle operazioni per le quali i costi totali ammissibili non superino i 50 000 EUR.</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Ai fini del presente articolo e dell'articolo 61, qualsiasi pagamento ricevuto dal beneficiario derivante da una penalità contrattuale a seguito di una violazione del contratto tra il beneficiario e un terzo o verificatosi in conseguenza del ritiro di un'offerta da parte di un terzo scelto in base alla normativa in materia di appalti pubblici (il "deposito") non è considerato come entrata e non è dedotto dalle spese ammissibili dell'operazione.</w:t>
            </w:r>
          </w:p>
        </w:tc>
        <w:tc>
          <w:tcPr>
            <w:tcW w:w="7371" w:type="dxa"/>
          </w:tcPr>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i/>
                <w:iCs/>
                <w:sz w:val="20"/>
                <w:szCs w:val="20"/>
              </w:rPr>
              <w:lastRenderedPageBreak/>
              <w:t xml:space="preserve">Articolo 55 </w:t>
            </w:r>
          </w:p>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b/>
                <w:bCs/>
                <w:sz w:val="20"/>
                <w:szCs w:val="20"/>
              </w:rPr>
              <w:t xml:space="preserve">Progetti generatori di entrate </w:t>
            </w:r>
          </w:p>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sz w:val="20"/>
                <w:szCs w:val="20"/>
              </w:rPr>
              <w:t xml:space="preserve">1. Ai fini del presente regolamento, per progetto generatore di entrate si intende qualsiasi operazione che comporti un investimento in infrastrutture il cui utilizzo sia soggetto a tariffe direttamente a carico degli utenti o qualsiasi operazione che comporti la vendita o la locazione di terreni o immobili o qualsiasi altra fornitura di servizi contro pagamento. </w:t>
            </w:r>
          </w:p>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sz w:val="20"/>
                <w:szCs w:val="20"/>
              </w:rPr>
              <w:t xml:space="preserve">2. La spesa ammissibile per i progetti generatori di entrate non supera il valore attuale del costo d'investimento diminuito del valore attuale dei proventi netti derivanti dall'investimento nell'arco di un periodo di riferimento specifico per quanto riguarda: </w:t>
            </w:r>
          </w:p>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sz w:val="20"/>
                <w:szCs w:val="20"/>
              </w:rPr>
              <w:lastRenderedPageBreak/>
              <w:t xml:space="preserve">a) gli investimenti in infrastrutture; o </w:t>
            </w:r>
          </w:p>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sz w:val="20"/>
                <w:szCs w:val="20"/>
              </w:rPr>
              <w:t xml:space="preserve">b) altri progetti per i quali sia possibile stimare obiettivamente </w:t>
            </w:r>
            <w:r w:rsidRPr="008D0D75">
              <w:rPr>
                <w:rFonts w:ascii="Times New Roman" w:hAnsi="Times New Roman"/>
                <w:i/>
                <w:iCs/>
                <w:sz w:val="20"/>
                <w:szCs w:val="20"/>
              </w:rPr>
              <w:t xml:space="preserve">ex ante </w:t>
            </w:r>
            <w:r w:rsidRPr="008D0D75">
              <w:rPr>
                <w:rFonts w:ascii="Times New Roman" w:hAnsi="Times New Roman"/>
                <w:sz w:val="20"/>
                <w:szCs w:val="20"/>
              </w:rPr>
              <w:t xml:space="preserve">le entrate. </w:t>
            </w:r>
          </w:p>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sz w:val="20"/>
                <w:szCs w:val="20"/>
              </w:rPr>
              <w:t xml:space="preserve">Qualora il costo d'investimento non sia integralmente ammissibile al cofinanziamento, le entrate nette vengono imputate con calcolo pro rata alla parte ammissibile e a quella non ammissibile del costo d'investimento. </w:t>
            </w:r>
          </w:p>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sz w:val="20"/>
                <w:szCs w:val="20"/>
              </w:rPr>
              <w:t xml:space="preserve">Nel calcolo, l'autorità di gestione tiene conto del periodo di riferimento adeguato alla categoria di investimento in questione, della categoria del progetto, della redditività normalmente attesa per la categoria di investimento in questione, dell'applicazione del principio «chi inquina paga» e, se del caso, di considerazioni di equità legate alla prosperità relativa dello Stato membro interessato. </w:t>
            </w:r>
          </w:p>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sz w:val="20"/>
                <w:szCs w:val="20"/>
              </w:rPr>
              <w:t xml:space="preserve">3. Qualora sia obiettivamente impossibile valutare le entrate in anticipo, le entrate nette generate nei cinque anni successivi al completamento di un’operazione sono detratte dalla spesa dichiarata alla Commissione. </w:t>
            </w:r>
          </w:p>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sz w:val="20"/>
                <w:szCs w:val="20"/>
              </w:rPr>
              <w:t xml:space="preserve">4. Qualora si accerti che un’operazione ha generato entrate nette non contemplate nei paragrafi 2 e 3, tali entrate nette sono detratte dall’autorità di certificazione al più tardi al momento della presentazione dei documenti per il programma operativo di cui alla lettera a) dell’articolo 89, paragrafo 1. La domanda di pagamento del saldo finale è corretta di conseguenza.  </w:t>
            </w:r>
          </w:p>
          <w:p w:rsidR="00021788" w:rsidRPr="008D0D75" w:rsidRDefault="00021788" w:rsidP="000B06ED">
            <w:pPr>
              <w:spacing w:after="0" w:line="240" w:lineRule="auto"/>
              <w:jc w:val="both"/>
              <w:rPr>
                <w:rFonts w:ascii="Times New Roman" w:hAnsi="Times New Roman"/>
                <w:sz w:val="20"/>
                <w:szCs w:val="20"/>
              </w:rPr>
            </w:pPr>
            <w:r w:rsidRPr="008D0D75">
              <w:rPr>
                <w:rFonts w:ascii="Times New Roman" w:hAnsi="Times New Roman"/>
                <w:sz w:val="20"/>
                <w:szCs w:val="20"/>
              </w:rPr>
              <w:t xml:space="preserve">5. I paragrafi da </w:t>
            </w:r>
            <w:smartTag w:uri="urn:schemas-microsoft-com:office:smarttags" w:element="metricconverter">
              <w:smartTagPr>
                <w:attr w:name="ProductID" w:val="1 a"/>
              </w:smartTagPr>
              <w:r w:rsidRPr="008D0D75">
                <w:rPr>
                  <w:rFonts w:ascii="Times New Roman" w:hAnsi="Times New Roman"/>
                  <w:sz w:val="20"/>
                  <w:szCs w:val="20"/>
                </w:rPr>
                <w:t>1 a</w:t>
              </w:r>
            </w:smartTag>
            <w:r w:rsidRPr="008D0D75">
              <w:rPr>
                <w:rFonts w:ascii="Times New Roman" w:hAnsi="Times New Roman"/>
                <w:sz w:val="20"/>
                <w:szCs w:val="20"/>
              </w:rPr>
              <w:t xml:space="preserve"> 4 del presente articolo si applicano soltanto alle operazioni cofinanziate dal FESR o dal Fondo di coesione il cui costo complessivo è</w:t>
            </w:r>
            <w:r>
              <w:rPr>
                <w:rFonts w:ascii="Times New Roman" w:hAnsi="Times New Roman"/>
                <w:sz w:val="20"/>
                <w:szCs w:val="20"/>
              </w:rPr>
              <w:t xml:space="preserve"> superiore a 1 milione di euro.</w:t>
            </w:r>
          </w:p>
          <w:p w:rsidR="00021788" w:rsidRPr="005B4716" w:rsidRDefault="00021788" w:rsidP="000B06ED">
            <w:pPr>
              <w:spacing w:after="0" w:line="240" w:lineRule="auto"/>
              <w:jc w:val="both"/>
              <w:rPr>
                <w:rFonts w:ascii="Times New Roman" w:hAnsi="Times New Roman"/>
                <w:sz w:val="20"/>
                <w:szCs w:val="20"/>
              </w:rPr>
            </w:pPr>
            <w:r w:rsidRPr="008D0D75">
              <w:rPr>
                <w:rFonts w:ascii="Times New Roman" w:hAnsi="Times New Roman"/>
                <w:sz w:val="20"/>
                <w:szCs w:val="20"/>
              </w:rPr>
              <w:t>6. Il presente articolo non si applica ai progetti disciplinati dalle norme in materia di aiuti di Stato ai sensi dell'articolo 87 del trattato.</w:t>
            </w: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p>
        </w:tc>
        <w:tc>
          <w:tcPr>
            <w:tcW w:w="7371" w:type="dxa"/>
          </w:tcPr>
          <w:p w:rsidR="00021788" w:rsidRPr="00E14D1C" w:rsidRDefault="00021788" w:rsidP="000B06ED">
            <w:pPr>
              <w:spacing w:after="0" w:line="240" w:lineRule="auto"/>
              <w:jc w:val="both"/>
              <w:rPr>
                <w:rFonts w:ascii="Times New Roman" w:hAnsi="Times New Roman"/>
                <w:b/>
                <w:sz w:val="20"/>
                <w:szCs w:val="20"/>
              </w:rPr>
            </w:pPr>
            <w:r w:rsidRPr="00E14D1C">
              <w:rPr>
                <w:rFonts w:ascii="Times New Roman" w:hAnsi="Times New Roman"/>
                <w:b/>
                <w:sz w:val="20"/>
                <w:szCs w:val="20"/>
              </w:rPr>
              <w:t>Articolo 56</w:t>
            </w:r>
          </w:p>
          <w:p w:rsidR="00021788" w:rsidRDefault="00021788" w:rsidP="000B06ED">
            <w:pPr>
              <w:spacing w:after="0" w:line="240" w:lineRule="auto"/>
              <w:jc w:val="both"/>
              <w:rPr>
                <w:rFonts w:ascii="Times New Roman" w:hAnsi="Times New Roman"/>
                <w:sz w:val="20"/>
                <w:szCs w:val="20"/>
              </w:rPr>
            </w:pPr>
            <w:r w:rsidRPr="00E14D1C">
              <w:rPr>
                <w:rFonts w:ascii="Times New Roman" w:hAnsi="Times New Roman"/>
                <w:b/>
                <w:sz w:val="20"/>
                <w:szCs w:val="20"/>
              </w:rPr>
              <w:t>Ammissibilità delle spese</w:t>
            </w:r>
            <w:r>
              <w:rPr>
                <w:rFonts w:ascii="Times New Roman" w:hAnsi="Times New Roman"/>
                <w:sz w:val="20"/>
                <w:szCs w:val="20"/>
              </w:rPr>
              <w:t xml:space="preserve"> […]</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3. Una spesa è ammissibile alla partecipazione dei Fondi soltanto qualora sia stata sostenuta per operazioni decise dall'autorità di gestione del programma operativo in questione o sotto la sua responsabilità, conformemente ai criteri fissati dal comitato di sorveglianza.</w:t>
            </w:r>
          </w:p>
        </w:tc>
      </w:tr>
      <w:tr w:rsidR="00021788" w:rsidRPr="005B4716" w:rsidTr="006B3BBF">
        <w:trPr>
          <w:trHeight w:val="1434"/>
        </w:trPr>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9. La spesa che diventa ammissibile a seguito di una modifica apportata a un programma è ammissibile solo a decorrere dalla data di presentazione della richiesta di modifica alla Commissione oppure, in caso di applicazione dell'articolo 96, paragrafo </w:t>
            </w:r>
            <w:smartTag w:uri="urn:schemas-microsoft-com:office:smarttags" w:element="metricconverter">
              <w:smartTagPr>
                <w:attr w:name="ProductID" w:val="11, a"/>
              </w:smartTagPr>
              <w:r w:rsidRPr="005B4716">
                <w:rPr>
                  <w:rFonts w:ascii="Times New Roman" w:hAnsi="Times New Roman"/>
                  <w:sz w:val="20"/>
                  <w:szCs w:val="20"/>
                </w:rPr>
                <w:t>11, a</w:t>
              </w:r>
            </w:smartTag>
            <w:r w:rsidRPr="005B4716">
              <w:rPr>
                <w:rFonts w:ascii="Times New Roman" w:hAnsi="Times New Roman"/>
                <w:sz w:val="20"/>
                <w:szCs w:val="20"/>
              </w:rPr>
              <w:t xml:space="preserve"> decorrere dalla data di entrata in vigore della decisione che modifica il programma.</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Le norme specifiche del FEAMP possono derogare al primo comma.</w:t>
            </w:r>
          </w:p>
        </w:tc>
        <w:tc>
          <w:tcPr>
            <w:tcW w:w="7371"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Laddove una nuova categoria di spesa di cui all’allegato II, parte A, tabella 1, del regolamento (CE) n. 1828/2006 della Commissione viene aggiunta al momento della modifica di un programma operativo di cui all’articolo 33, del presente regolamento, le spese comprese in tale categoria sono ammissibili a partire dalla data di presentazione alla Commissione della richiesta di revisione del programma operativo.</w:t>
            </w: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smartTag w:uri="urn:schemas-microsoft-com:office:smarttags" w:element="metricconverter">
              <w:smartTagPr>
                <w:attr w:name="ProductID" w:val="10. In"/>
              </w:smartTagPr>
              <w:r w:rsidRPr="005B4716">
                <w:rPr>
                  <w:rFonts w:ascii="Times New Roman" w:hAnsi="Times New Roman"/>
                  <w:sz w:val="20"/>
                  <w:szCs w:val="20"/>
                </w:rPr>
                <w:t>10. In</w:t>
              </w:r>
            </w:smartTag>
            <w:r w:rsidRPr="005B4716">
              <w:rPr>
                <w:rFonts w:ascii="Times New Roman" w:hAnsi="Times New Roman"/>
                <w:sz w:val="20"/>
                <w:szCs w:val="20"/>
              </w:rPr>
              <w:t xml:space="preserve"> deroga al paragrafo 9, le procedure specifiche relative alla data di inizio dell'ammissibilità possono essere stabilite nel regolamento FEASR.</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2435A2">
        <w:tc>
          <w:tcPr>
            <w:tcW w:w="7792" w:type="dxa"/>
          </w:tcPr>
          <w:p w:rsidR="00021788" w:rsidRDefault="00021788" w:rsidP="00F95391">
            <w:pPr>
              <w:spacing w:after="0" w:line="240" w:lineRule="auto"/>
              <w:jc w:val="both"/>
              <w:rPr>
                <w:rFonts w:ascii="Times New Roman" w:hAnsi="Times New Roman"/>
                <w:sz w:val="20"/>
                <w:szCs w:val="20"/>
              </w:rPr>
            </w:pPr>
            <w:r w:rsidRPr="005B4716">
              <w:rPr>
                <w:rFonts w:ascii="Times New Roman" w:hAnsi="Times New Roman"/>
                <w:sz w:val="20"/>
                <w:szCs w:val="20"/>
              </w:rPr>
              <w:t>11. Un'operazione può ricevere sostegno da uno o più fondi SIE oppure da uno o più programmi e da altri strumenti dell'Unione, purché la voce di spesa indicata in una richiesta di pagamento per il rimborso da parte di uno dei fondi SIE non riceva il sostegno di un altro fondo o strumento dell'Unione, o dallo stesso fondo nell'ambito di un altro programma.</w:t>
            </w:r>
          </w:p>
          <w:p w:rsidR="00F95391" w:rsidRDefault="00F95391" w:rsidP="00F95391">
            <w:pPr>
              <w:spacing w:after="0" w:line="240" w:lineRule="auto"/>
              <w:jc w:val="both"/>
              <w:rPr>
                <w:rFonts w:ascii="Times New Roman" w:hAnsi="Times New Roman"/>
                <w:sz w:val="20"/>
                <w:szCs w:val="20"/>
              </w:rPr>
            </w:pPr>
          </w:p>
          <w:p w:rsidR="00F95391" w:rsidRDefault="00F95391" w:rsidP="00F95391">
            <w:pPr>
              <w:spacing w:after="0" w:line="240" w:lineRule="auto"/>
              <w:jc w:val="both"/>
              <w:rPr>
                <w:rFonts w:ascii="Times New Roman" w:hAnsi="Times New Roman"/>
                <w:sz w:val="20"/>
                <w:szCs w:val="20"/>
              </w:rPr>
            </w:pPr>
          </w:p>
          <w:p w:rsidR="00F95391" w:rsidRDefault="00F95391" w:rsidP="00F95391">
            <w:pPr>
              <w:spacing w:after="0" w:line="240" w:lineRule="auto"/>
              <w:jc w:val="both"/>
              <w:rPr>
                <w:rFonts w:ascii="Times New Roman" w:hAnsi="Times New Roman"/>
                <w:sz w:val="20"/>
                <w:szCs w:val="20"/>
              </w:rPr>
            </w:pPr>
          </w:p>
          <w:p w:rsidR="00F95391" w:rsidRDefault="00F95391" w:rsidP="00F95391">
            <w:pPr>
              <w:spacing w:after="0" w:line="240" w:lineRule="auto"/>
              <w:jc w:val="both"/>
              <w:rPr>
                <w:rFonts w:ascii="Times New Roman" w:hAnsi="Times New Roman"/>
                <w:sz w:val="20"/>
                <w:szCs w:val="20"/>
              </w:rPr>
            </w:pPr>
          </w:p>
          <w:p w:rsidR="00F95391" w:rsidRPr="005B4716" w:rsidRDefault="00F95391" w:rsidP="00F95391">
            <w:pPr>
              <w:spacing w:after="0" w:line="240" w:lineRule="auto"/>
              <w:jc w:val="both"/>
              <w:rPr>
                <w:rFonts w:ascii="Times New Roman" w:hAnsi="Times New Roman"/>
                <w:sz w:val="20"/>
                <w:szCs w:val="20"/>
              </w:rPr>
            </w:pP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5C68E8">
        <w:tc>
          <w:tcPr>
            <w:tcW w:w="7792" w:type="dxa"/>
          </w:tcPr>
          <w:p w:rsidR="00021788" w:rsidRPr="005B4716" w:rsidRDefault="00021788" w:rsidP="000B06ED">
            <w:pPr>
              <w:spacing w:after="0" w:line="240" w:lineRule="auto"/>
              <w:jc w:val="both"/>
              <w:rPr>
                <w:rFonts w:ascii="Times New Roman" w:hAnsi="Times New Roman"/>
                <w:b/>
                <w:i/>
                <w:sz w:val="20"/>
                <w:szCs w:val="20"/>
              </w:rPr>
            </w:pPr>
            <w:r w:rsidRPr="005B4716">
              <w:rPr>
                <w:rFonts w:ascii="Times New Roman" w:hAnsi="Times New Roman"/>
                <w:b/>
                <w:i/>
                <w:sz w:val="20"/>
                <w:szCs w:val="20"/>
              </w:rPr>
              <w:lastRenderedPageBreak/>
              <w:t>Articolo 69</w:t>
            </w:r>
          </w:p>
          <w:p w:rsidR="00021788" w:rsidRPr="006B3BBF" w:rsidRDefault="00021788" w:rsidP="000B06ED">
            <w:pPr>
              <w:spacing w:after="0" w:line="240" w:lineRule="auto"/>
              <w:jc w:val="both"/>
              <w:rPr>
                <w:rFonts w:ascii="Times New Roman" w:hAnsi="Times New Roman"/>
                <w:b/>
                <w:i/>
                <w:sz w:val="19"/>
                <w:szCs w:val="19"/>
              </w:rPr>
            </w:pPr>
            <w:r w:rsidRPr="006B3BBF">
              <w:rPr>
                <w:rFonts w:ascii="Times New Roman" w:hAnsi="Times New Roman"/>
                <w:b/>
                <w:i/>
                <w:sz w:val="19"/>
                <w:szCs w:val="19"/>
              </w:rPr>
              <w:t>Norme specifiche in materia di ammissibilità per le sovvenzioni e per l'assistenza rimborsabile</w:t>
            </w:r>
          </w:p>
        </w:tc>
        <w:tc>
          <w:tcPr>
            <w:tcW w:w="7371" w:type="dxa"/>
          </w:tcPr>
          <w:p w:rsidR="00021788" w:rsidRPr="005B4716" w:rsidRDefault="00021788" w:rsidP="000B06ED">
            <w:pPr>
              <w:spacing w:after="0" w:line="240" w:lineRule="auto"/>
              <w:jc w:val="both"/>
              <w:rPr>
                <w:rFonts w:ascii="Times New Roman" w:hAnsi="Times New Roman"/>
                <w:b/>
                <w:sz w:val="20"/>
                <w:szCs w:val="20"/>
              </w:rPr>
            </w:pPr>
            <w:r w:rsidRPr="005B4716">
              <w:rPr>
                <w:rFonts w:ascii="Times New Roman" w:hAnsi="Times New Roman"/>
                <w:b/>
                <w:sz w:val="20"/>
                <w:szCs w:val="20"/>
              </w:rPr>
              <w:t>Articolo 56</w:t>
            </w:r>
          </w:p>
          <w:p w:rsidR="00021788" w:rsidRPr="005B4716" w:rsidRDefault="00021788" w:rsidP="00F95391">
            <w:pPr>
              <w:spacing w:after="0" w:line="240" w:lineRule="auto"/>
              <w:jc w:val="both"/>
              <w:rPr>
                <w:rFonts w:ascii="Times New Roman" w:hAnsi="Times New Roman"/>
                <w:sz w:val="20"/>
                <w:szCs w:val="20"/>
              </w:rPr>
            </w:pPr>
            <w:r w:rsidRPr="005B4716">
              <w:rPr>
                <w:rFonts w:ascii="Times New Roman" w:hAnsi="Times New Roman"/>
                <w:b/>
                <w:sz w:val="20"/>
                <w:szCs w:val="20"/>
              </w:rPr>
              <w:t>Ammissibilità delle spese</w:t>
            </w:r>
          </w:p>
        </w:tc>
      </w:tr>
      <w:tr w:rsidR="00021788" w:rsidRPr="005B4716" w:rsidTr="00F95391">
        <w:trPr>
          <w:trHeight w:val="4341"/>
        </w:trPr>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1. I contributi in natura sotto forma di forniture di opere, beni, servizi, terreni e immobili in relazione ai quali non è stato effettuato alcun pagamento in contanti giustificato da fatture o documenti di valore probatorio equivalente, sono considerati ammissibili a condizione che lo prevedano le norme in materia di ammissibilità dei fondi SIE e del programma e siano soddisfatti tutti i seguenti criteri:</w:t>
            </w:r>
          </w:p>
          <w:p w:rsidR="00021788" w:rsidRPr="00205FB6" w:rsidRDefault="00021788" w:rsidP="000B06ED">
            <w:pPr>
              <w:spacing w:after="0" w:line="240" w:lineRule="auto"/>
              <w:jc w:val="both"/>
              <w:rPr>
                <w:rFonts w:ascii="Times New Roman" w:hAnsi="Times New Roman"/>
                <w:sz w:val="20"/>
                <w:szCs w:val="20"/>
              </w:rPr>
            </w:pPr>
            <w:r w:rsidRPr="00205FB6">
              <w:rPr>
                <w:rFonts w:ascii="Times New Roman" w:hAnsi="Times New Roman"/>
                <w:sz w:val="20"/>
                <w:szCs w:val="20"/>
              </w:rPr>
              <w:t>a) il sostegno pubblico a favore dell'operazione che comprende contributi in natura non supera il totale delle spese ammissibili, esclusi i contributi in natura, al termine dell'operazione;</w:t>
            </w:r>
          </w:p>
          <w:p w:rsidR="00021788" w:rsidRPr="00205FB6" w:rsidRDefault="00021788" w:rsidP="000B06ED">
            <w:pPr>
              <w:spacing w:after="0" w:line="240" w:lineRule="auto"/>
              <w:jc w:val="both"/>
              <w:rPr>
                <w:rFonts w:ascii="Times New Roman" w:hAnsi="Times New Roman"/>
                <w:sz w:val="20"/>
                <w:szCs w:val="20"/>
              </w:rPr>
            </w:pPr>
            <w:r w:rsidRPr="00205FB6">
              <w:rPr>
                <w:rFonts w:ascii="Times New Roman" w:hAnsi="Times New Roman"/>
                <w:sz w:val="20"/>
                <w:szCs w:val="20"/>
              </w:rPr>
              <w:t>b) il valore attribuito ai contributi in natura non supera i costi generalmente accettati sul mercato in questione;</w:t>
            </w:r>
          </w:p>
          <w:p w:rsidR="00021788" w:rsidRPr="00205FB6" w:rsidRDefault="00021788" w:rsidP="000B06ED">
            <w:pPr>
              <w:spacing w:after="0" w:line="240" w:lineRule="auto"/>
              <w:jc w:val="both"/>
              <w:rPr>
                <w:rFonts w:ascii="Times New Roman" w:hAnsi="Times New Roman"/>
                <w:sz w:val="20"/>
                <w:szCs w:val="20"/>
              </w:rPr>
            </w:pPr>
            <w:r w:rsidRPr="00205FB6">
              <w:rPr>
                <w:rFonts w:ascii="Times New Roman" w:hAnsi="Times New Roman"/>
                <w:sz w:val="20"/>
                <w:szCs w:val="20"/>
              </w:rPr>
              <w:t>c) il valore e la fornitura dei contributi possono essere valutati e verificati in modo indipendente;</w:t>
            </w:r>
          </w:p>
          <w:p w:rsidR="00021788" w:rsidRPr="00205FB6" w:rsidRDefault="00021788" w:rsidP="000B06ED">
            <w:pPr>
              <w:spacing w:after="0" w:line="240" w:lineRule="auto"/>
              <w:jc w:val="both"/>
              <w:rPr>
                <w:rFonts w:ascii="Times New Roman" w:hAnsi="Times New Roman"/>
                <w:sz w:val="20"/>
                <w:szCs w:val="20"/>
              </w:rPr>
            </w:pPr>
            <w:r w:rsidRPr="00205FB6">
              <w:rPr>
                <w:rFonts w:ascii="Times New Roman" w:hAnsi="Times New Roman"/>
                <w:sz w:val="20"/>
                <w:szCs w:val="20"/>
              </w:rPr>
              <w:t>d) nel caso di terreni o immobili, può essere eseguito un pagamento in denaro ai fini di un contratto di locazione per un importo nominale annuo non superiore a una singola unità della valuta dello Stato membro;</w:t>
            </w:r>
          </w:p>
          <w:p w:rsidR="00021788" w:rsidRPr="005B4716" w:rsidRDefault="00021788" w:rsidP="000B06ED">
            <w:pPr>
              <w:spacing w:after="0" w:line="240" w:lineRule="auto"/>
              <w:jc w:val="both"/>
              <w:rPr>
                <w:rFonts w:ascii="Times New Roman" w:hAnsi="Times New Roman"/>
                <w:sz w:val="20"/>
                <w:szCs w:val="20"/>
              </w:rPr>
            </w:pPr>
            <w:r w:rsidRPr="00205FB6">
              <w:rPr>
                <w:rFonts w:ascii="Times New Roman" w:hAnsi="Times New Roman"/>
                <w:sz w:val="20"/>
                <w:szCs w:val="20"/>
              </w:rPr>
              <w:t>e) nel caso di contributi in natura sotto forma di prestazione di lavoro non retribuita, il valore della prestazione è stabilito tenendo conto del tempo di lavoro trascorso e verificato il tasso di remunerazione per una prestazione di lavoro equivalente.</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Il valore dei terreni o immobili di cui al primo comma, lettera d), del presente paragrafo è certificato da un esperto qualificato e indipendente o un organismo debitamente autorizzato e non supera il limite di cui al paragrafo 3, lettera b).</w:t>
            </w:r>
          </w:p>
        </w:tc>
        <w:tc>
          <w:tcPr>
            <w:tcW w:w="7371"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2. In deroga al paragrafo 1, i contributi in natura, le spese di ammortamento e le spese generali possono essere assimilati alle spese sostenute dai beneficiari nell'attuare le operazioni, alle condizioni di cui al terzo comma del presente paragrafo. </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In deroga al paragrafo 1, i contributi in natura, nel caso degli strumenti di ingegneria finanziaria ai sensi dell'articolo 78, paragrafo 6, primo comma, possono essere assimilati alle spese sostenute per costituire i fondi o fondi di partecipazione o per contribuire ad essi, alle condizioni di cui al terzo comma del presente paragrafo.</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Le spese di cui al primo e al secondo comma devono soddisfare le condizioni seguenti: </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a) le norme in materia di ammissibilità stabilite in base al paragrafo 4 prevedono l'ammissibilità di tali spese; </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b) l'ammontare delle spese è debitamente giustificato da documenti giustificativi aventi un valore probatorio equivalente a fatture, fatte salve le disposizioni stabilite in regolamenti specifici; </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c) nel caso di contributi in natura, il cofinanziamento dei Fondi non supera la spesa totale ammissibile, escluso il valore di detti contributi.</w:t>
            </w:r>
          </w:p>
        </w:tc>
      </w:tr>
      <w:tr w:rsidR="00021788" w:rsidRPr="005B4716" w:rsidTr="002435A2">
        <w:tc>
          <w:tcPr>
            <w:tcW w:w="7792" w:type="dxa"/>
          </w:tcPr>
          <w:p w:rsidR="00021788" w:rsidRPr="00205FB6" w:rsidRDefault="00021788" w:rsidP="000B06ED">
            <w:pPr>
              <w:spacing w:after="0" w:line="240" w:lineRule="auto"/>
              <w:jc w:val="both"/>
              <w:rPr>
                <w:rFonts w:ascii="Times New Roman" w:hAnsi="Times New Roman"/>
                <w:sz w:val="20"/>
                <w:szCs w:val="20"/>
              </w:rPr>
            </w:pPr>
            <w:r w:rsidRPr="00205FB6">
              <w:rPr>
                <w:rFonts w:ascii="Times New Roman" w:hAnsi="Times New Roman"/>
                <w:sz w:val="20"/>
                <w:szCs w:val="20"/>
              </w:rPr>
              <w:t xml:space="preserve">2. Le spese di ammortamento si possono considerare spese ammissibili alle seguenti condizioni: </w:t>
            </w:r>
          </w:p>
          <w:p w:rsidR="00021788" w:rsidRPr="00205FB6" w:rsidRDefault="00021788" w:rsidP="000B06ED">
            <w:pPr>
              <w:spacing w:after="0" w:line="240" w:lineRule="auto"/>
              <w:jc w:val="both"/>
              <w:rPr>
                <w:rFonts w:ascii="Times New Roman" w:hAnsi="Times New Roman"/>
                <w:sz w:val="20"/>
                <w:szCs w:val="20"/>
              </w:rPr>
            </w:pPr>
            <w:r w:rsidRPr="00205FB6">
              <w:rPr>
                <w:rFonts w:ascii="Times New Roman" w:hAnsi="Times New Roman"/>
                <w:sz w:val="20"/>
                <w:szCs w:val="20"/>
              </w:rPr>
              <w:t>a) ciò è consentito dalle norme del programma in materia di ammissibilità;</w:t>
            </w:r>
          </w:p>
          <w:p w:rsidR="00021788" w:rsidRPr="00205FB6" w:rsidRDefault="00021788" w:rsidP="000B06ED">
            <w:pPr>
              <w:spacing w:after="0" w:line="240" w:lineRule="auto"/>
              <w:jc w:val="both"/>
              <w:rPr>
                <w:rFonts w:ascii="Times New Roman" w:hAnsi="Times New Roman"/>
                <w:sz w:val="20"/>
                <w:szCs w:val="20"/>
              </w:rPr>
            </w:pPr>
            <w:r w:rsidRPr="00205FB6">
              <w:rPr>
                <w:rFonts w:ascii="Times New Roman" w:hAnsi="Times New Roman"/>
                <w:sz w:val="20"/>
                <w:szCs w:val="20"/>
              </w:rPr>
              <w:t>b) l'importo della spesa è debitamente giustificato da documenti con un valore probatorio equivalente alle fatture per costi ammissibili quando rimborsato nella forma di cui all'articolo 67, paragrafo 1, primo comma, lettera a);</w:t>
            </w:r>
          </w:p>
          <w:p w:rsidR="00021788" w:rsidRPr="00205FB6" w:rsidRDefault="00021788" w:rsidP="000B06ED">
            <w:pPr>
              <w:spacing w:after="0" w:line="240" w:lineRule="auto"/>
              <w:jc w:val="both"/>
              <w:rPr>
                <w:rFonts w:ascii="Times New Roman" w:hAnsi="Times New Roman"/>
                <w:sz w:val="20"/>
                <w:szCs w:val="20"/>
              </w:rPr>
            </w:pPr>
            <w:r w:rsidRPr="00205FB6">
              <w:rPr>
                <w:rFonts w:ascii="Times New Roman" w:hAnsi="Times New Roman"/>
                <w:sz w:val="20"/>
                <w:szCs w:val="20"/>
              </w:rPr>
              <w:t>c) i costi si riferiscono esclusivamente al periodo di sostegno all'operazione;</w:t>
            </w:r>
          </w:p>
          <w:p w:rsidR="00021788" w:rsidRPr="00205FB6" w:rsidRDefault="00021788" w:rsidP="000B06ED">
            <w:pPr>
              <w:spacing w:after="0" w:line="240" w:lineRule="auto"/>
              <w:jc w:val="both"/>
              <w:rPr>
                <w:rFonts w:ascii="Times New Roman" w:hAnsi="Times New Roman"/>
                <w:sz w:val="20"/>
                <w:szCs w:val="20"/>
              </w:rPr>
            </w:pPr>
            <w:r w:rsidRPr="00205FB6">
              <w:rPr>
                <w:rFonts w:ascii="Times New Roman" w:hAnsi="Times New Roman"/>
                <w:sz w:val="20"/>
                <w:szCs w:val="20"/>
              </w:rPr>
              <w:t>d) all'acquisto dei beni ammortizzati non hanno contribuito sovvenzioni pubbliche.</w:t>
            </w:r>
          </w:p>
        </w:tc>
        <w:tc>
          <w:tcPr>
            <w:tcW w:w="7371" w:type="dxa"/>
          </w:tcPr>
          <w:p w:rsidR="00021788" w:rsidRPr="00205FB6" w:rsidRDefault="00021788" w:rsidP="000B06ED">
            <w:pPr>
              <w:spacing w:after="0" w:line="240" w:lineRule="auto"/>
              <w:jc w:val="both"/>
              <w:rPr>
                <w:rFonts w:ascii="Times New Roman" w:hAnsi="Times New Roman"/>
                <w:sz w:val="20"/>
                <w:szCs w:val="20"/>
              </w:rPr>
            </w:pPr>
          </w:p>
          <w:p w:rsidR="00021788" w:rsidRPr="00205FB6" w:rsidRDefault="00021788" w:rsidP="000B06ED">
            <w:pPr>
              <w:spacing w:after="0" w:line="240" w:lineRule="auto"/>
              <w:jc w:val="both"/>
              <w:rPr>
                <w:rFonts w:ascii="Times New Roman" w:hAnsi="Times New Roman"/>
                <w:sz w:val="20"/>
                <w:szCs w:val="20"/>
              </w:rPr>
            </w:pPr>
          </w:p>
        </w:tc>
      </w:tr>
      <w:tr w:rsidR="00021788" w:rsidRPr="005B4716" w:rsidTr="006B3BBF">
        <w:trPr>
          <w:trHeight w:val="3045"/>
        </w:trPr>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lastRenderedPageBreak/>
              <w:t>3. Non sono ammissibili a un contributo dei fondi SIE né all'importo di sostegno trasferito dal Fondo di coesione al CEF di cui all'articolo 92, paragrafo 6, i seguenti costi:</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a) interessi passivi, a eccezione di quelli relativi a sovvenzioni concesse sotto forma di abbuono d'interessi o di un bonifico sulla commissione di garanzia;</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b) l'acquisto di terreni non edificati e di terreni edificati per un importo superiore al </w:t>
            </w:r>
            <w:r w:rsidRPr="00205FB6">
              <w:rPr>
                <w:rFonts w:ascii="Times New Roman" w:hAnsi="Times New Roman"/>
                <w:sz w:val="20"/>
                <w:szCs w:val="20"/>
              </w:rPr>
              <w:t>10 %</w:t>
            </w:r>
            <w:r w:rsidRPr="005B4716">
              <w:rPr>
                <w:rFonts w:ascii="Times New Roman" w:hAnsi="Times New Roman"/>
                <w:sz w:val="20"/>
                <w:szCs w:val="20"/>
              </w:rPr>
              <w:t xml:space="preserve"> della spesa totale ammissibile dell'operazione considerata. Per i siti in stato di degrado e per quelli precedentemente adibiti a uso industriale che comprendono edifici, tale limite è aumentato al 15 %. In casi eccezionali e debitamente giustificati, il limite può essere elevato al di sopra delle rispettive percentuali di cui sopra per operazioni a tutela dell'ambiente;</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c) imposta sul valore aggiunto salvo nei casi in cui non sia recuperabile a norma della normativa nazionale sull'IVA.</w:t>
            </w:r>
          </w:p>
        </w:tc>
        <w:tc>
          <w:tcPr>
            <w:tcW w:w="7371" w:type="dxa"/>
          </w:tcPr>
          <w:p w:rsidR="00021788" w:rsidRPr="005B4716" w:rsidRDefault="00021788" w:rsidP="000B06ED">
            <w:pPr>
              <w:spacing w:after="0" w:line="240" w:lineRule="auto"/>
              <w:jc w:val="both"/>
              <w:rPr>
                <w:rFonts w:ascii="Times New Roman" w:hAnsi="Times New Roman"/>
                <w:b/>
                <w:sz w:val="20"/>
                <w:szCs w:val="20"/>
              </w:rPr>
            </w:pPr>
            <w:r w:rsidRPr="005B4716">
              <w:rPr>
                <w:rFonts w:ascii="Times New Roman" w:hAnsi="Times New Roman"/>
                <w:b/>
                <w:sz w:val="20"/>
                <w:szCs w:val="20"/>
              </w:rPr>
              <w:t>REGOLAMENTO FSE [2007-2013]</w:t>
            </w:r>
          </w:p>
          <w:p w:rsidR="00021788" w:rsidRPr="005B4716" w:rsidRDefault="00021788" w:rsidP="000B06ED">
            <w:pPr>
              <w:spacing w:after="0" w:line="240" w:lineRule="auto"/>
              <w:jc w:val="both"/>
              <w:rPr>
                <w:rFonts w:ascii="Times New Roman" w:hAnsi="Times New Roman"/>
                <w:b/>
                <w:sz w:val="20"/>
                <w:szCs w:val="20"/>
              </w:rPr>
            </w:pPr>
            <w:r w:rsidRPr="005B4716">
              <w:rPr>
                <w:rFonts w:ascii="Times New Roman" w:hAnsi="Times New Roman"/>
                <w:b/>
                <w:sz w:val="20"/>
                <w:szCs w:val="20"/>
              </w:rPr>
              <w:t>Articolo 11</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b/>
                <w:sz w:val="20"/>
                <w:szCs w:val="20"/>
              </w:rPr>
              <w:t>Ammissibilità delle spese</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2. Le spese seguenti non sono ammissibili a un contributo del Fondo:</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a) l'imposta sul valore aggiunto recuperabile;</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b) gli interessi passivi;</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c) l'acquisto di mobili, attrezzature, veicoli, infrastrutture, beni immobili e terreni.</w:t>
            </w:r>
          </w:p>
        </w:tc>
      </w:tr>
      <w:tr w:rsidR="00021788" w:rsidRPr="005B4716" w:rsidTr="002435A2">
        <w:tc>
          <w:tcPr>
            <w:tcW w:w="7792" w:type="dxa"/>
          </w:tcPr>
          <w:p w:rsidR="00021788" w:rsidRPr="005B4716" w:rsidRDefault="00021788" w:rsidP="000B06ED">
            <w:pPr>
              <w:keepNext/>
              <w:spacing w:after="0" w:line="240" w:lineRule="auto"/>
              <w:jc w:val="both"/>
              <w:rPr>
                <w:rFonts w:ascii="Times New Roman" w:hAnsi="Times New Roman"/>
                <w:b/>
                <w:i/>
                <w:sz w:val="20"/>
                <w:szCs w:val="20"/>
              </w:rPr>
            </w:pPr>
            <w:r w:rsidRPr="005B4716">
              <w:rPr>
                <w:rFonts w:ascii="Times New Roman" w:hAnsi="Times New Roman"/>
                <w:b/>
                <w:i/>
                <w:sz w:val="20"/>
                <w:szCs w:val="20"/>
              </w:rPr>
              <w:t>Articolo 70</w:t>
            </w:r>
          </w:p>
          <w:p w:rsidR="00021788" w:rsidRPr="005B4716" w:rsidRDefault="00021788" w:rsidP="00F95391">
            <w:pPr>
              <w:keepNext/>
              <w:spacing w:after="0" w:line="240" w:lineRule="auto"/>
              <w:jc w:val="both"/>
              <w:rPr>
                <w:rFonts w:ascii="Times New Roman" w:hAnsi="Times New Roman"/>
                <w:b/>
                <w:i/>
                <w:sz w:val="20"/>
                <w:szCs w:val="20"/>
              </w:rPr>
            </w:pPr>
            <w:r w:rsidRPr="005B4716">
              <w:rPr>
                <w:rFonts w:ascii="Times New Roman" w:hAnsi="Times New Roman"/>
                <w:b/>
                <w:i/>
                <w:sz w:val="20"/>
                <w:szCs w:val="20"/>
              </w:rPr>
              <w:t>Ammissibilità delle operazioni a seconda dell'ubicazione</w:t>
            </w:r>
          </w:p>
        </w:tc>
        <w:tc>
          <w:tcPr>
            <w:tcW w:w="7371" w:type="dxa"/>
          </w:tcPr>
          <w:p w:rsidR="00021788" w:rsidRPr="005B4716" w:rsidRDefault="00021788" w:rsidP="000B06ED">
            <w:pPr>
              <w:keepNext/>
              <w:spacing w:after="0" w:line="240" w:lineRule="auto"/>
              <w:jc w:val="both"/>
              <w:rPr>
                <w:rFonts w:ascii="Times New Roman" w:hAnsi="Times New Roman"/>
                <w:sz w:val="20"/>
                <w:szCs w:val="20"/>
              </w:rPr>
            </w:pP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1. Le operazioni sostenute dai fondi SIE, fatte salve le deroghe di cui ai paragrafi 2 e 3 e alle norme specifiche di ciascun fondo, sono ubicati nell'area del programma.</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F95391">
        <w:trPr>
          <w:trHeight w:val="2731"/>
        </w:trPr>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2. L'autorità di gestione può accettare che un'operazione si svolga al di fuori dell'area del programma ma sempre all'interno dell'Unione, purché siano soddisfatte tutte le seguenti condizioni:</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a) l'operazione è a vantaggio dell'area del programma;</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b) l'importo complessivo destinato dal programma a operazioni ubicate fuori dall'area del programma non supera il 15 % del sostegno del FESR, del Fondo di coesione o del FEAMP a livello di priorità o il 5 % del sostegno del FEASR a livello del programma;</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c) il comitato di sorveglianza ha dato il suo consenso all'operazione o al tipo di operazioni interessate;</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d) le autorità responsabili del programma nell'ambito del quale viene finanziato l'operazione soddisfano gli obblighi posti a carico di tali autorità per quanto concerne la gestione, il controllo e l'audit o stipulano accordi con autorità nell'area in cui si svolge l'operazione.</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3. Per le operazioni concernenti attività di assistenza tecnica o promozionali, è possibile sostenere spese al di fuori dell'Unione, purché siano soddisfatte le condizioni di cui al paragrafo 2, lettera a) e rispettati gli obblighi di gestione, controllo e audit riguardanti l'operazione.</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2435A2">
        <w:tc>
          <w:tcPr>
            <w:tcW w:w="7792" w:type="dxa"/>
          </w:tcPr>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4. I paragrafi da 1 a 3 non si applicano ai programmi nell'ambito dell'obiettivo Cooperazione territoriale europea e i paragrafi 2 e 3 non si applicano alle operazioni sostenute dal FSE.</w:t>
            </w:r>
          </w:p>
          <w:p w:rsidR="00021788" w:rsidRPr="005B4716" w:rsidRDefault="00021788" w:rsidP="000B06ED">
            <w:pPr>
              <w:spacing w:after="0" w:line="240" w:lineRule="auto"/>
              <w:jc w:val="both"/>
              <w:rPr>
                <w:rFonts w:ascii="Times New Roman" w:hAnsi="Times New Roman"/>
                <w:sz w:val="20"/>
                <w:szCs w:val="20"/>
              </w:rPr>
            </w:pP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2435A2">
        <w:tc>
          <w:tcPr>
            <w:tcW w:w="7792" w:type="dxa"/>
            <w:shd w:val="clear" w:color="auto" w:fill="BDD6EE"/>
          </w:tcPr>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NUOVO REGOLAMENTO FSE [2014-2020]</w:t>
            </w:r>
          </w:p>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Regolamento UE 1304/2013 del Parlamento e del Consiglio</w:t>
            </w:r>
          </w:p>
        </w:tc>
        <w:tc>
          <w:tcPr>
            <w:tcW w:w="7371" w:type="dxa"/>
            <w:shd w:val="clear" w:color="auto" w:fill="C6D9F1"/>
          </w:tcPr>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REGOLAMENTO FSE [2007-2013]</w:t>
            </w:r>
          </w:p>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Regolamento CE 1081/2006 del Consiglio</w:t>
            </w:r>
          </w:p>
        </w:tc>
      </w:tr>
      <w:tr w:rsidR="00021788" w:rsidRPr="005B4716" w:rsidTr="002435A2">
        <w:tc>
          <w:tcPr>
            <w:tcW w:w="7792" w:type="dxa"/>
          </w:tcPr>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Articolo 13</w:t>
            </w:r>
          </w:p>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Ammissibilità delle spese</w:t>
            </w:r>
          </w:p>
        </w:tc>
        <w:tc>
          <w:tcPr>
            <w:tcW w:w="7371" w:type="dxa"/>
          </w:tcPr>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Articolo 11</w:t>
            </w:r>
          </w:p>
          <w:p w:rsidR="00021788" w:rsidRPr="005B4716" w:rsidRDefault="00021788" w:rsidP="000B06ED">
            <w:pPr>
              <w:spacing w:after="0" w:line="240" w:lineRule="auto"/>
              <w:jc w:val="center"/>
              <w:rPr>
                <w:rFonts w:ascii="Times New Roman" w:hAnsi="Times New Roman"/>
                <w:b/>
                <w:sz w:val="20"/>
                <w:szCs w:val="20"/>
              </w:rPr>
            </w:pPr>
            <w:r w:rsidRPr="005B4716">
              <w:rPr>
                <w:rFonts w:ascii="Times New Roman" w:hAnsi="Times New Roman"/>
                <w:b/>
                <w:sz w:val="20"/>
                <w:szCs w:val="20"/>
              </w:rPr>
              <w:t>Ammissibilità delle spese</w:t>
            </w: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lastRenderedPageBreak/>
              <w:t>1. L'FSE garantisce un sostegno alle spese ammissibili che, come disposto all'articolo 120, paragrafo 2, lettera b), del regolamento (UE) n. 1303/2013, possono comprendere le risorse finanziarie costituite collettivamente dai datori di lavoro e dai lavoratori.</w:t>
            </w:r>
          </w:p>
        </w:tc>
        <w:tc>
          <w:tcPr>
            <w:tcW w:w="7371"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1. Il Fondo contribuisce alla spesa ammissibile che, in deroga all'articolo 53, paragrafo 1, lettera b), del regolamento (CE) n. 1083/2006, può includere le risorse finanziarie costituite collettivamente da datori di lavoro e lavoratori. L'assistenza assume la forma di sovvenzioni individuali o globali non rimborsabili, sovvenzioni rimborsabili, abbuoni di interessi sui prestiti, </w:t>
            </w:r>
            <w:proofErr w:type="spellStart"/>
            <w:r w:rsidRPr="005B4716">
              <w:rPr>
                <w:rFonts w:ascii="Times New Roman" w:hAnsi="Times New Roman"/>
                <w:sz w:val="20"/>
                <w:szCs w:val="20"/>
              </w:rPr>
              <w:t>microcrediti</w:t>
            </w:r>
            <w:proofErr w:type="spellEnd"/>
            <w:r w:rsidRPr="005B4716">
              <w:rPr>
                <w:rFonts w:ascii="Times New Roman" w:hAnsi="Times New Roman"/>
                <w:sz w:val="20"/>
                <w:szCs w:val="20"/>
              </w:rPr>
              <w:t>, fondi di garanzia e acquisizione di beni e servizi conformemente alle norme in materia di appalti pubblici.</w:t>
            </w:r>
          </w:p>
        </w:tc>
      </w:tr>
      <w:tr w:rsidR="00021788" w:rsidRPr="005B4716" w:rsidTr="00F95391">
        <w:trPr>
          <w:trHeight w:val="2328"/>
        </w:trPr>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2. L'FSE può garantire un sostegno alle spese sostenute per operazioni realizzate al di fuori dell'ambito di applicazione del programma, ma all'interno dell'Unione, purché siano soddisfatte le due seguenti condizioni:</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a) l'operazione va a beneficio della zona di programma;</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b) gli obblighi delle autorità nell'ambito del programma operativo in rapporto alla gestione, al controllo e all'audit concernenti l'operazione sono rispettati dalle autorità responsabili per l'attuazione del programma operativo nell'ambito del quale tale operazione è finanziata o sono coperti da accordi con le autorità dello Stato membro nel quale l'operazione è attuata, purché in detto Stato membro siano rispettati gli obblighi relativi alla gestione, al controllo e all'audit relativi all'operazione stessa.</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3. Fino a un limite del 3 % della dotazione di un programma operativo dell'FSE o della parte dell'FSE di un programma operativo </w:t>
            </w:r>
            <w:proofErr w:type="spellStart"/>
            <w:r w:rsidRPr="005B4716">
              <w:rPr>
                <w:rFonts w:ascii="Times New Roman" w:hAnsi="Times New Roman"/>
                <w:sz w:val="20"/>
                <w:szCs w:val="20"/>
              </w:rPr>
              <w:t>multifondo</w:t>
            </w:r>
            <w:proofErr w:type="spellEnd"/>
            <w:r w:rsidRPr="005B4716">
              <w:rPr>
                <w:rFonts w:ascii="Times New Roman" w:hAnsi="Times New Roman"/>
                <w:sz w:val="20"/>
                <w:szCs w:val="20"/>
              </w:rPr>
              <w:t>, le spese sostenute al di fuori dell'Unione, sono ammissibili al finanziamento dell'FSE a condizione che riguardino gli obiettivi tematici di cui all'articolo 3, paragrafo 1, lettera a), o all'articolo 3, paragrafo 1, lettera c), e purché il pertinente comitato di sorveglianza abbia dato il suo consenso all'operazione o al tipo di operazioni interessate.</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F95391">
        <w:trPr>
          <w:trHeight w:val="866"/>
        </w:trPr>
        <w:tc>
          <w:tcPr>
            <w:tcW w:w="7792"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4. Oltre alla spesa di cui all'articolo 69, paragrafo 3, del regolamento (UE) n. 1303/2013, l'acquisto di infrastrutture, terreni e beni immobili non è altresì ammissibile al finanziamento dell'FSE.</w:t>
            </w:r>
          </w:p>
        </w:tc>
        <w:tc>
          <w:tcPr>
            <w:tcW w:w="7371"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2. Le spese seguenti non sono ammissibili a un contributo del Fondo:</w:t>
            </w:r>
          </w:p>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a) l</w:t>
            </w:r>
            <w:r w:rsidR="00F95391">
              <w:rPr>
                <w:rFonts w:ascii="Times New Roman" w:hAnsi="Times New Roman"/>
                <w:sz w:val="20"/>
                <w:szCs w:val="20"/>
              </w:rPr>
              <w:t>’</w:t>
            </w:r>
            <w:r w:rsidRPr="005B4716">
              <w:rPr>
                <w:rFonts w:ascii="Times New Roman" w:hAnsi="Times New Roman"/>
                <w:sz w:val="20"/>
                <w:szCs w:val="20"/>
              </w:rPr>
              <w:t>imposta sul valore aggiunto recuperabile;</w:t>
            </w:r>
          </w:p>
          <w:p w:rsidR="00021788"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b) gli interessi passivi;</w:t>
            </w:r>
          </w:p>
          <w:p w:rsidR="00021788" w:rsidRPr="005B4716" w:rsidRDefault="00021788" w:rsidP="00F95391">
            <w:pPr>
              <w:spacing w:after="0" w:line="240" w:lineRule="auto"/>
              <w:jc w:val="both"/>
              <w:rPr>
                <w:rFonts w:ascii="Times New Roman" w:hAnsi="Times New Roman"/>
                <w:sz w:val="20"/>
                <w:szCs w:val="20"/>
              </w:rPr>
            </w:pPr>
            <w:r w:rsidRPr="005B4716">
              <w:rPr>
                <w:rFonts w:ascii="Times New Roman" w:hAnsi="Times New Roman"/>
                <w:sz w:val="20"/>
                <w:szCs w:val="20"/>
              </w:rPr>
              <w:t>c) l</w:t>
            </w:r>
            <w:r w:rsidR="00F95391">
              <w:rPr>
                <w:rFonts w:ascii="Times New Roman" w:hAnsi="Times New Roman"/>
                <w:sz w:val="20"/>
                <w:szCs w:val="20"/>
              </w:rPr>
              <w:t>’</w:t>
            </w:r>
            <w:r w:rsidRPr="005B4716">
              <w:rPr>
                <w:rFonts w:ascii="Times New Roman" w:hAnsi="Times New Roman"/>
                <w:sz w:val="20"/>
                <w:szCs w:val="20"/>
              </w:rPr>
              <w:t>acquisto di mobili, attrezzature, veicoli, infrastrutture, beni immobili e terreni.</w:t>
            </w: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r w:rsidRPr="001E711D">
              <w:rPr>
                <w:rFonts w:ascii="Times New Roman" w:hAnsi="Times New Roman"/>
                <w:sz w:val="20"/>
                <w:szCs w:val="20"/>
              </w:rPr>
              <w:t>5. I contributi in natura sotto forma di indennità o salari versati da un terzo a vantaggio dei partecipanti a un'operazione possono essere ammessi al contributo dell'FSE purché i contributi in natura siano sostenuti conformemente alle regole nazionali, comprese le regole contabili, e non superino i costi sostenuti dai terzi.</w:t>
            </w:r>
          </w:p>
        </w:tc>
        <w:tc>
          <w:tcPr>
            <w:tcW w:w="7371" w:type="dxa"/>
          </w:tcPr>
          <w:p w:rsidR="00021788" w:rsidRPr="005B4716" w:rsidRDefault="00021788" w:rsidP="000B06ED">
            <w:pPr>
              <w:spacing w:after="0" w:line="240" w:lineRule="auto"/>
              <w:jc w:val="both"/>
              <w:rPr>
                <w:rFonts w:ascii="Times New Roman" w:hAnsi="Times New Roman"/>
                <w:sz w:val="20"/>
                <w:szCs w:val="20"/>
              </w:rPr>
            </w:pP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p>
        </w:tc>
        <w:tc>
          <w:tcPr>
            <w:tcW w:w="7371" w:type="dxa"/>
          </w:tcPr>
          <w:p w:rsidR="00021788" w:rsidRPr="005B4716" w:rsidRDefault="00021788" w:rsidP="000B06ED">
            <w:pPr>
              <w:spacing w:after="0" w:line="240" w:lineRule="auto"/>
              <w:jc w:val="both"/>
              <w:rPr>
                <w:rFonts w:ascii="Times New Roman" w:hAnsi="Times New Roman"/>
                <w:sz w:val="20"/>
                <w:szCs w:val="20"/>
              </w:rPr>
            </w:pPr>
            <w:r w:rsidRPr="005B4716">
              <w:rPr>
                <w:rFonts w:ascii="Times New Roman" w:hAnsi="Times New Roman"/>
                <w:sz w:val="20"/>
                <w:szCs w:val="20"/>
              </w:rPr>
              <w:t xml:space="preserve">3. Le spese seguenti sono considerate ammissibili a un contributo del Fondo ai sensi del paragrafo 1, purché siano sostenute conformemente alle normative nazionali, comprese quelle in materia contabile, e alle condizioni specifiche </w:t>
            </w:r>
            <w:proofErr w:type="spellStart"/>
            <w:r w:rsidRPr="005B4716">
              <w:rPr>
                <w:rFonts w:ascii="Times New Roman" w:hAnsi="Times New Roman"/>
                <w:sz w:val="20"/>
                <w:szCs w:val="20"/>
              </w:rPr>
              <w:t>sottoindicate</w:t>
            </w:r>
            <w:proofErr w:type="spellEnd"/>
            <w:r w:rsidRPr="005B4716">
              <w:rPr>
                <w:rFonts w:ascii="Times New Roman" w:hAnsi="Times New Roman"/>
                <w:sz w:val="20"/>
                <w:szCs w:val="20"/>
              </w:rPr>
              <w:t>:</w:t>
            </w:r>
          </w:p>
          <w:p w:rsidR="00021788" w:rsidRPr="005B4716" w:rsidRDefault="00021788" w:rsidP="000B06ED">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a) le indennità o retribuzioni versate da un terzo a beneficio dei partecipanti ad un'operazione e certificate al beneficiario;</w:t>
            </w:r>
          </w:p>
          <w:p w:rsidR="00021788" w:rsidRPr="005B4716" w:rsidRDefault="00021788" w:rsidP="000B06ED">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b) nel caso di sovvenzioni:</w:t>
            </w:r>
          </w:p>
          <w:p w:rsidR="00021788" w:rsidRPr="005B4716" w:rsidRDefault="00021788" w:rsidP="000B06ED">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i) i costi indiretti, dichiarati su base forfettaria, fino al 20 % dei costi diretti di un’operazione;</w:t>
            </w:r>
          </w:p>
          <w:p w:rsidR="00021788" w:rsidRPr="005B4716" w:rsidRDefault="00021788" w:rsidP="000B06ED">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ii) i costi fissi calcolati applicando tabelle standard di costi unitari definiti dallo Stato membro;</w:t>
            </w:r>
          </w:p>
          <w:p w:rsidR="00021788" w:rsidRPr="005B4716" w:rsidRDefault="00021788" w:rsidP="000B06ED">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lastRenderedPageBreak/>
              <w:t>iii) somme forfettarie destinate a coprire l’insieme o una parte dei costi di un</w:t>
            </w:r>
            <w:r>
              <w:rPr>
                <w:rFonts w:ascii="Times New Roman" w:hAnsi="Times New Roman"/>
                <w:sz w:val="20"/>
                <w:szCs w:val="20"/>
              </w:rPr>
              <w:t xml:space="preserve">’ </w:t>
            </w:r>
            <w:r w:rsidRPr="005B4716">
              <w:rPr>
                <w:rFonts w:ascii="Times New Roman" w:hAnsi="Times New Roman"/>
                <w:sz w:val="20"/>
                <w:szCs w:val="20"/>
              </w:rPr>
              <w:t>«operazione»;</w:t>
            </w:r>
          </w:p>
          <w:p w:rsidR="00021788" w:rsidRPr="005B4716" w:rsidRDefault="00021788" w:rsidP="000B06ED">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c) i costi di ammortamento di beni ammortizzabili di cui al paragrafo 2, lettera c), assegnati esclusivamente per la durata di un'operazione, nella misura in cui sovvenzioni pubbliche non hanno contribuito all'acquisto di tale attivo.</w:t>
            </w:r>
          </w:p>
          <w:p w:rsidR="00021788" w:rsidRPr="005B4716" w:rsidRDefault="00021788" w:rsidP="000B06ED">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Le opzioni di cui alla lettera b), punti i), ii) e iii), possono essere combinate unicamente se ciascuna di esse copre una diversa categoria di costi ammissibili o se sono utilizzate per diversi progetti relativi ad una stessa operazione.</w:t>
            </w:r>
          </w:p>
          <w:p w:rsidR="00021788" w:rsidRPr="005B4716" w:rsidRDefault="00021788" w:rsidP="000B06ED">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I costi di cui alla lettera b), punti i), ii) e iii), sono stabiliti in anticipo sulla base di un calcolo giusto, equo e verificabile.</w:t>
            </w:r>
          </w:p>
          <w:p w:rsidR="00021788" w:rsidRPr="005B4716" w:rsidRDefault="00021788" w:rsidP="000B06ED">
            <w:pPr>
              <w:autoSpaceDE w:val="0"/>
              <w:autoSpaceDN w:val="0"/>
              <w:adjustRightInd w:val="0"/>
              <w:spacing w:after="0" w:line="240" w:lineRule="auto"/>
              <w:jc w:val="both"/>
              <w:rPr>
                <w:rFonts w:ascii="Times New Roman" w:hAnsi="Times New Roman"/>
                <w:sz w:val="20"/>
                <w:szCs w:val="20"/>
              </w:rPr>
            </w:pPr>
            <w:r w:rsidRPr="005B4716">
              <w:rPr>
                <w:rFonts w:ascii="Times New Roman" w:hAnsi="Times New Roman"/>
                <w:sz w:val="20"/>
                <w:szCs w:val="20"/>
              </w:rPr>
              <w:t>L’importo forfettario di cui alla lettera b), punto iii), non eccede la somma di 50 000 EUR.</w:t>
            </w:r>
          </w:p>
        </w:tc>
      </w:tr>
      <w:tr w:rsidR="00021788" w:rsidRPr="005B4716" w:rsidTr="002435A2">
        <w:tc>
          <w:tcPr>
            <w:tcW w:w="7792" w:type="dxa"/>
          </w:tcPr>
          <w:p w:rsidR="00021788" w:rsidRPr="005B4716" w:rsidRDefault="00021788" w:rsidP="000B06ED">
            <w:pPr>
              <w:spacing w:after="0" w:line="240" w:lineRule="auto"/>
              <w:jc w:val="both"/>
              <w:rPr>
                <w:rFonts w:ascii="Times New Roman" w:hAnsi="Times New Roman"/>
                <w:sz w:val="20"/>
                <w:szCs w:val="20"/>
              </w:rPr>
            </w:pPr>
          </w:p>
        </w:tc>
        <w:tc>
          <w:tcPr>
            <w:tcW w:w="7371" w:type="dxa"/>
          </w:tcPr>
          <w:p w:rsidR="00021788" w:rsidRPr="005B4716" w:rsidRDefault="00021788" w:rsidP="00F95391">
            <w:pPr>
              <w:spacing w:after="0" w:line="240" w:lineRule="auto"/>
              <w:jc w:val="both"/>
              <w:rPr>
                <w:rFonts w:ascii="Times New Roman" w:hAnsi="Times New Roman"/>
                <w:sz w:val="20"/>
                <w:szCs w:val="20"/>
              </w:rPr>
            </w:pPr>
            <w:r w:rsidRPr="005B4716">
              <w:rPr>
                <w:rFonts w:ascii="Times New Roman" w:hAnsi="Times New Roman"/>
                <w:sz w:val="20"/>
                <w:szCs w:val="20"/>
              </w:rPr>
              <w:t>4. Le norme di ammissibilità enunciate all'articolo 7 del regolamento (CE) n. 1080/2006 si applicano alle azioni cofinanziate dal Fondo che rientrano nel campo d'applicazione dell'articolo 3 del suddetto regolamento.</w:t>
            </w:r>
          </w:p>
        </w:tc>
      </w:tr>
    </w:tbl>
    <w:p w:rsidR="00021788" w:rsidRDefault="00021788" w:rsidP="000B06ED">
      <w:pPr>
        <w:spacing w:after="0" w:line="240" w:lineRule="auto"/>
        <w:rPr>
          <w:rFonts w:ascii="Times New Roman" w:hAnsi="Times New Roman"/>
        </w:rPr>
      </w:pPr>
    </w:p>
    <w:p w:rsidR="00021788" w:rsidRDefault="00021788" w:rsidP="000B06ED">
      <w:pPr>
        <w:spacing w:after="0" w:line="240" w:lineRule="auto"/>
        <w:rPr>
          <w:rFonts w:ascii="Times New Roman" w:hAnsi="Times New Roman"/>
        </w:rPr>
        <w:sectPr w:rsidR="00021788" w:rsidSect="00E40E90">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567" w:bottom="567" w:left="567" w:header="709" w:footer="709" w:gutter="0"/>
          <w:cols w:space="708"/>
          <w:docGrid w:linePitch="360"/>
        </w:sectPr>
      </w:pPr>
    </w:p>
    <w:p w:rsidR="00021788" w:rsidRPr="0079091E" w:rsidRDefault="00021788" w:rsidP="000B06ED">
      <w:pPr>
        <w:pStyle w:val="Titolo6"/>
        <w:jc w:val="center"/>
      </w:pPr>
      <w:r w:rsidRPr="0079091E">
        <w:rPr>
          <w:b/>
          <w:i w:val="0"/>
        </w:rPr>
        <w:lastRenderedPageBreak/>
        <w:t>PRIME RIFLESSIONI</w:t>
      </w:r>
    </w:p>
    <w:p w:rsidR="00021788" w:rsidRPr="0079091E" w:rsidRDefault="00021788" w:rsidP="000B06ED">
      <w:pPr>
        <w:pStyle w:val="Titolo6"/>
        <w:jc w:val="center"/>
        <w:rPr>
          <w:b/>
        </w:rPr>
      </w:pPr>
    </w:p>
    <w:p w:rsidR="00021788" w:rsidRPr="0079091E" w:rsidRDefault="00021788" w:rsidP="000B06ED">
      <w:pPr>
        <w:pStyle w:val="Titolo6"/>
        <w:jc w:val="center"/>
        <w:rPr>
          <w:b/>
          <w:bCs/>
          <w:i w:val="0"/>
          <w:iCs w:val="0"/>
          <w:sz w:val="22"/>
          <w:szCs w:val="22"/>
        </w:rPr>
      </w:pPr>
      <w:r>
        <w:rPr>
          <w:b/>
          <w:bCs/>
          <w:i w:val="0"/>
          <w:iCs w:val="0"/>
          <w:sz w:val="22"/>
          <w:szCs w:val="22"/>
        </w:rPr>
        <w:t xml:space="preserve">Ammissibilità della spesa </w:t>
      </w:r>
    </w:p>
    <w:p w:rsidR="00021788" w:rsidRPr="0079091E" w:rsidRDefault="00021788" w:rsidP="000B06ED">
      <w:pPr>
        <w:spacing w:after="0" w:line="240" w:lineRule="auto"/>
        <w:jc w:val="center"/>
        <w:rPr>
          <w:rFonts w:ascii="Times New Roman" w:hAnsi="Times New Roman"/>
          <w:i/>
        </w:rPr>
      </w:pPr>
      <w:r>
        <w:rPr>
          <w:rFonts w:ascii="Times New Roman" w:hAnsi="Times New Roman"/>
          <w:i/>
        </w:rPr>
        <w:t>[</w:t>
      </w:r>
      <w:proofErr w:type="gramStart"/>
      <w:r>
        <w:rPr>
          <w:rFonts w:ascii="Times New Roman" w:hAnsi="Times New Roman"/>
          <w:i/>
        </w:rPr>
        <w:t>articoli</w:t>
      </w:r>
      <w:proofErr w:type="gramEnd"/>
      <w:r>
        <w:rPr>
          <w:rFonts w:ascii="Times New Roman" w:hAnsi="Times New Roman"/>
          <w:i/>
        </w:rPr>
        <w:t xml:space="preserve"> 65-69-70 </w:t>
      </w:r>
      <w:r w:rsidRPr="0079091E">
        <w:rPr>
          <w:rFonts w:ascii="Times New Roman" w:hAnsi="Times New Roman"/>
          <w:i/>
        </w:rPr>
        <w:t>Regolamento Disposizioni Comuni</w:t>
      </w:r>
      <w:r>
        <w:rPr>
          <w:rFonts w:ascii="Times New Roman" w:hAnsi="Times New Roman"/>
          <w:i/>
        </w:rPr>
        <w:t xml:space="preserve"> e art. 13 Regolamento FSE</w:t>
      </w:r>
      <w:r w:rsidRPr="0079091E">
        <w:rPr>
          <w:rFonts w:ascii="Times New Roman" w:hAnsi="Times New Roman"/>
          <w:i/>
        </w:rPr>
        <w:t>]</w:t>
      </w:r>
    </w:p>
    <w:p w:rsidR="00021788" w:rsidRDefault="00021788" w:rsidP="000B06ED">
      <w:pPr>
        <w:spacing w:after="0" w:line="240" w:lineRule="auto"/>
        <w:rPr>
          <w:rFonts w:ascii="Times New Roman" w:hAnsi="Times New Roman"/>
        </w:rPr>
      </w:pPr>
    </w:p>
    <w:p w:rsidR="00021788" w:rsidRPr="0079091E" w:rsidRDefault="00021788" w:rsidP="000B06ED">
      <w:pPr>
        <w:spacing w:after="0" w:line="240" w:lineRule="auto"/>
        <w:rPr>
          <w:rFonts w:ascii="Times New Roman" w:hAnsi="Times New Roman"/>
        </w:rPr>
      </w:pPr>
    </w:p>
    <w:p w:rsidR="00021788" w:rsidRDefault="00021788" w:rsidP="000B06ED">
      <w:pPr>
        <w:spacing w:after="0" w:line="240" w:lineRule="auto"/>
        <w:jc w:val="both"/>
        <w:rPr>
          <w:rFonts w:ascii="Times New Roman" w:hAnsi="Times New Roman"/>
          <w:sz w:val="24"/>
          <w:szCs w:val="24"/>
        </w:rPr>
      </w:pPr>
      <w:r>
        <w:rPr>
          <w:rFonts w:ascii="Times New Roman" w:hAnsi="Times New Roman"/>
          <w:sz w:val="24"/>
          <w:szCs w:val="24"/>
        </w:rPr>
        <w:t>Analogamente con la passata programmazione, l’art</w:t>
      </w:r>
      <w:r w:rsidR="00F95391">
        <w:rPr>
          <w:rFonts w:ascii="Times New Roman" w:hAnsi="Times New Roman"/>
          <w:sz w:val="24"/>
          <w:szCs w:val="24"/>
        </w:rPr>
        <w:t>.</w:t>
      </w:r>
      <w:r>
        <w:rPr>
          <w:rFonts w:ascii="Times New Roman" w:hAnsi="Times New Roman"/>
          <w:sz w:val="24"/>
          <w:szCs w:val="24"/>
        </w:rPr>
        <w:t xml:space="preserve"> 65 del </w:t>
      </w:r>
      <w:r w:rsidR="00F95391">
        <w:rPr>
          <w:rFonts w:ascii="Times New Roman" w:hAnsi="Times New Roman"/>
          <w:sz w:val="24"/>
          <w:szCs w:val="24"/>
        </w:rPr>
        <w:t>R</w:t>
      </w:r>
      <w:r>
        <w:rPr>
          <w:rFonts w:ascii="Times New Roman" w:hAnsi="Times New Roman"/>
          <w:sz w:val="24"/>
          <w:szCs w:val="24"/>
        </w:rPr>
        <w:t>eg</w:t>
      </w:r>
      <w:r w:rsidR="00F95391">
        <w:rPr>
          <w:rFonts w:ascii="Times New Roman" w:hAnsi="Times New Roman"/>
          <w:sz w:val="24"/>
          <w:szCs w:val="24"/>
        </w:rPr>
        <w:t>.</w:t>
      </w:r>
      <w:r>
        <w:rPr>
          <w:rFonts w:ascii="Times New Roman" w:hAnsi="Times New Roman"/>
          <w:sz w:val="24"/>
          <w:szCs w:val="24"/>
        </w:rPr>
        <w:t xml:space="preserve"> n. 1303/2013 demanda agli SM la definizione delle regole sull’ammissibilità spesa, fermo restando le norme specifiche del regolamento generale e dei regolamenti specifici dei fondi.</w:t>
      </w:r>
    </w:p>
    <w:p w:rsidR="00021788" w:rsidRPr="00F95391" w:rsidRDefault="00021788" w:rsidP="000B06ED">
      <w:pPr>
        <w:spacing w:after="0" w:line="240" w:lineRule="auto"/>
        <w:jc w:val="both"/>
        <w:rPr>
          <w:rFonts w:ascii="Times New Roman" w:hAnsi="Times New Roman"/>
          <w:sz w:val="20"/>
          <w:szCs w:val="24"/>
        </w:rPr>
      </w:pPr>
    </w:p>
    <w:p w:rsidR="00021788" w:rsidRDefault="00021788" w:rsidP="000B06ED">
      <w:pPr>
        <w:spacing w:after="0" w:line="240" w:lineRule="auto"/>
        <w:jc w:val="both"/>
        <w:rPr>
          <w:rFonts w:ascii="Times New Roman" w:hAnsi="Times New Roman"/>
          <w:sz w:val="24"/>
          <w:szCs w:val="24"/>
        </w:rPr>
      </w:pPr>
      <w:r>
        <w:rPr>
          <w:rFonts w:ascii="Times New Roman" w:hAnsi="Times New Roman"/>
          <w:sz w:val="24"/>
          <w:szCs w:val="24"/>
        </w:rPr>
        <w:t xml:space="preserve">Dal confronto tra gli articoli del vecchio e del nuovo </w:t>
      </w:r>
      <w:r w:rsidR="00F95391">
        <w:rPr>
          <w:rFonts w:ascii="Times New Roman" w:hAnsi="Times New Roman"/>
          <w:sz w:val="24"/>
          <w:szCs w:val="24"/>
        </w:rPr>
        <w:t>R</w:t>
      </w:r>
      <w:r>
        <w:rPr>
          <w:rFonts w:ascii="Times New Roman" w:hAnsi="Times New Roman"/>
          <w:sz w:val="24"/>
          <w:szCs w:val="24"/>
        </w:rPr>
        <w:t xml:space="preserve">egolamento si nota una leggera differenza terminologica, laddove all’art. 56 del </w:t>
      </w:r>
      <w:r w:rsidR="00F95391">
        <w:rPr>
          <w:rFonts w:ascii="Times New Roman" w:hAnsi="Times New Roman"/>
          <w:sz w:val="24"/>
          <w:szCs w:val="24"/>
        </w:rPr>
        <w:t>R</w:t>
      </w:r>
      <w:r>
        <w:rPr>
          <w:rFonts w:ascii="Times New Roman" w:hAnsi="Times New Roman"/>
          <w:sz w:val="24"/>
          <w:szCs w:val="24"/>
        </w:rPr>
        <w:t xml:space="preserve">eg. 1083/2006 si specificava che </w:t>
      </w:r>
      <w:r w:rsidRPr="009A772A">
        <w:rPr>
          <w:rFonts w:ascii="Times New Roman" w:hAnsi="Times New Roman"/>
          <w:sz w:val="24"/>
          <w:szCs w:val="24"/>
          <w:u w:val="single"/>
        </w:rPr>
        <w:t>le norme</w:t>
      </w:r>
      <w:r w:rsidRPr="009A772A">
        <w:rPr>
          <w:rFonts w:ascii="Times New Roman" w:hAnsi="Times New Roman"/>
          <w:sz w:val="24"/>
          <w:szCs w:val="24"/>
        </w:rPr>
        <w:t xml:space="preserve"> in materia di ammissibilità </w:t>
      </w:r>
      <w:r w:rsidRPr="009A772A">
        <w:rPr>
          <w:rFonts w:ascii="Times New Roman" w:hAnsi="Times New Roman"/>
          <w:sz w:val="24"/>
          <w:szCs w:val="24"/>
          <w:u w:val="single"/>
        </w:rPr>
        <w:t>sono stabilite</w:t>
      </w:r>
      <w:r w:rsidRPr="009A772A">
        <w:rPr>
          <w:rFonts w:ascii="Times New Roman" w:hAnsi="Times New Roman"/>
          <w:sz w:val="24"/>
          <w:szCs w:val="24"/>
        </w:rPr>
        <w:t xml:space="preserve"> a livello nazionale</w:t>
      </w:r>
      <w:r>
        <w:rPr>
          <w:rFonts w:ascii="Times New Roman" w:hAnsi="Times New Roman"/>
          <w:sz w:val="24"/>
          <w:szCs w:val="24"/>
        </w:rPr>
        <w:t xml:space="preserve">, mentre all’art. 65 del nuovo regolamento è previsto, più in generale, che </w:t>
      </w:r>
      <w:r w:rsidRPr="00AB3BAD">
        <w:rPr>
          <w:rFonts w:ascii="Times New Roman" w:hAnsi="Times New Roman"/>
          <w:sz w:val="24"/>
          <w:szCs w:val="24"/>
        </w:rPr>
        <w:t xml:space="preserve">l’ammissibilità della spesa è </w:t>
      </w:r>
      <w:r w:rsidRPr="00AB3BAD">
        <w:rPr>
          <w:rFonts w:ascii="Times New Roman" w:hAnsi="Times New Roman"/>
          <w:sz w:val="24"/>
          <w:szCs w:val="24"/>
          <w:u w:val="single"/>
        </w:rPr>
        <w:t>determinata</w:t>
      </w:r>
      <w:r w:rsidRPr="00AB3BAD">
        <w:rPr>
          <w:rFonts w:ascii="Times New Roman" w:hAnsi="Times New Roman"/>
          <w:sz w:val="24"/>
          <w:szCs w:val="24"/>
        </w:rPr>
        <w:t xml:space="preserve"> </w:t>
      </w:r>
      <w:r w:rsidRPr="009A772A">
        <w:rPr>
          <w:rFonts w:ascii="Times New Roman" w:hAnsi="Times New Roman"/>
          <w:sz w:val="24"/>
          <w:szCs w:val="24"/>
          <w:u w:val="single"/>
        </w:rPr>
        <w:t>in base</w:t>
      </w:r>
      <w:r w:rsidRPr="00AB3BAD">
        <w:rPr>
          <w:rFonts w:ascii="Times New Roman" w:hAnsi="Times New Roman"/>
          <w:sz w:val="24"/>
          <w:szCs w:val="24"/>
        </w:rPr>
        <w:t xml:space="preserve"> a norme nazionali. </w:t>
      </w:r>
      <w:r>
        <w:rPr>
          <w:rFonts w:ascii="Times New Roman" w:hAnsi="Times New Roman"/>
          <w:sz w:val="24"/>
          <w:szCs w:val="24"/>
        </w:rPr>
        <w:t>Tale diversa definizione potrebbe lasciar supporre che non sia necessario definire una nuova norma</w:t>
      </w:r>
      <w:r w:rsidRPr="000D7EE2">
        <w:rPr>
          <w:rFonts w:ascii="Times New Roman" w:hAnsi="Times New Roman"/>
          <w:sz w:val="24"/>
          <w:szCs w:val="24"/>
        </w:rPr>
        <w:t xml:space="preserve"> </w:t>
      </w:r>
      <w:r>
        <w:rPr>
          <w:rFonts w:ascii="Times New Roman" w:hAnsi="Times New Roman"/>
          <w:sz w:val="24"/>
          <w:szCs w:val="24"/>
        </w:rPr>
        <w:t>sull’ammissibilità della spesa per il periodo 2014-2020, in quanto l’attuale è applicabile anche per il prossimo periodo, fatte salve, ovviamente, le disposizioni cont</w:t>
      </w:r>
      <w:r w:rsidR="00F95391">
        <w:rPr>
          <w:rFonts w:ascii="Times New Roman" w:hAnsi="Times New Roman"/>
          <w:sz w:val="24"/>
          <w:szCs w:val="24"/>
        </w:rPr>
        <w:t>enute nel Reg. 1303/2013 e nei R</w:t>
      </w:r>
      <w:r>
        <w:rPr>
          <w:rFonts w:ascii="Times New Roman" w:hAnsi="Times New Roman"/>
          <w:sz w:val="24"/>
          <w:szCs w:val="24"/>
        </w:rPr>
        <w:t>eg. specifici dei fondi. In tal senso, però, è possibile che vi sia la necessità di una revisione o di un aggiornamento</w:t>
      </w:r>
      <w:r>
        <w:rPr>
          <w:rStyle w:val="Rimandonotaapidipagina"/>
          <w:rFonts w:ascii="Times New Roman" w:hAnsi="Times New Roman"/>
          <w:sz w:val="24"/>
          <w:szCs w:val="24"/>
        </w:rPr>
        <w:footnoteReference w:id="1"/>
      </w:r>
      <w:r>
        <w:rPr>
          <w:rFonts w:ascii="Times New Roman" w:hAnsi="Times New Roman"/>
          <w:sz w:val="24"/>
          <w:szCs w:val="24"/>
        </w:rPr>
        <w:t>.</w:t>
      </w:r>
    </w:p>
    <w:p w:rsidR="00021788" w:rsidRPr="00F95391" w:rsidRDefault="00021788" w:rsidP="000B06ED">
      <w:pPr>
        <w:spacing w:after="0" w:line="240" w:lineRule="auto"/>
        <w:jc w:val="both"/>
        <w:rPr>
          <w:rFonts w:ascii="Times New Roman" w:hAnsi="Times New Roman"/>
          <w:sz w:val="20"/>
          <w:szCs w:val="24"/>
        </w:rPr>
      </w:pPr>
    </w:p>
    <w:p w:rsidR="00021788" w:rsidRDefault="00021788" w:rsidP="000B06ED">
      <w:pPr>
        <w:spacing w:after="0" w:line="240" w:lineRule="auto"/>
        <w:jc w:val="both"/>
        <w:rPr>
          <w:rFonts w:ascii="Times New Roman" w:hAnsi="Times New Roman"/>
          <w:sz w:val="24"/>
          <w:szCs w:val="24"/>
        </w:rPr>
      </w:pPr>
      <w:r>
        <w:rPr>
          <w:rFonts w:ascii="Times New Roman" w:hAnsi="Times New Roman"/>
          <w:sz w:val="24"/>
          <w:szCs w:val="24"/>
        </w:rPr>
        <w:t xml:space="preserve">Per la futura programmazione, </w:t>
      </w:r>
      <w:r w:rsidRPr="00511D97">
        <w:rPr>
          <w:rFonts w:ascii="Times New Roman" w:hAnsi="Times New Roman"/>
          <w:b/>
          <w:sz w:val="24"/>
          <w:szCs w:val="24"/>
        </w:rPr>
        <w:t xml:space="preserve">l’ammissibilità della spesa inizia </w:t>
      </w:r>
      <w:r>
        <w:rPr>
          <w:rFonts w:ascii="Times New Roman" w:hAnsi="Times New Roman"/>
          <w:b/>
          <w:sz w:val="24"/>
          <w:szCs w:val="24"/>
        </w:rPr>
        <w:t>l’</w:t>
      </w:r>
      <w:r w:rsidRPr="00511D97">
        <w:rPr>
          <w:rFonts w:ascii="Times New Roman" w:hAnsi="Times New Roman"/>
          <w:b/>
          <w:sz w:val="24"/>
          <w:szCs w:val="24"/>
        </w:rPr>
        <w:t>1 gennaio 2014 e termina il 31 dicembre 2023</w:t>
      </w:r>
      <w:r>
        <w:rPr>
          <w:rFonts w:ascii="Times New Roman" w:hAnsi="Times New Roman"/>
          <w:b/>
          <w:sz w:val="24"/>
          <w:szCs w:val="24"/>
        </w:rPr>
        <w:t>;</w:t>
      </w:r>
      <w:r>
        <w:rPr>
          <w:rFonts w:ascii="Times New Roman" w:hAnsi="Times New Roman"/>
          <w:sz w:val="24"/>
          <w:szCs w:val="24"/>
        </w:rPr>
        <w:t xml:space="preserve"> il periodo di ammissibilità risulta essere, quindi, </w:t>
      </w:r>
      <w:r w:rsidRPr="00A90935">
        <w:rPr>
          <w:rFonts w:ascii="Times New Roman" w:hAnsi="Times New Roman"/>
          <w:sz w:val="24"/>
          <w:szCs w:val="24"/>
        </w:rPr>
        <w:t>più lungo di un anno</w:t>
      </w:r>
      <w:r>
        <w:rPr>
          <w:rFonts w:ascii="Times New Roman" w:hAnsi="Times New Roman"/>
          <w:sz w:val="24"/>
          <w:szCs w:val="24"/>
        </w:rPr>
        <w:t>, coerentemente con la regola del</w:t>
      </w:r>
      <w:r w:rsidRPr="00A90935">
        <w:rPr>
          <w:rFonts w:ascii="Times New Roman" w:hAnsi="Times New Roman"/>
          <w:sz w:val="24"/>
          <w:szCs w:val="24"/>
        </w:rPr>
        <w:t xml:space="preserve"> disimpegno </w:t>
      </w:r>
      <w:r>
        <w:rPr>
          <w:rFonts w:ascii="Times New Roman" w:hAnsi="Times New Roman"/>
          <w:sz w:val="24"/>
          <w:szCs w:val="24"/>
        </w:rPr>
        <w:t xml:space="preserve">automatico </w:t>
      </w:r>
      <w:r w:rsidRPr="00A90935">
        <w:rPr>
          <w:rFonts w:ascii="Times New Roman" w:hAnsi="Times New Roman"/>
          <w:sz w:val="24"/>
          <w:szCs w:val="24"/>
        </w:rPr>
        <w:t xml:space="preserve">calcolata su base </w:t>
      </w:r>
      <w:r>
        <w:rPr>
          <w:rFonts w:ascii="Times New Roman" w:hAnsi="Times New Roman"/>
          <w:sz w:val="24"/>
          <w:szCs w:val="24"/>
        </w:rPr>
        <w:t xml:space="preserve">dell’ </w:t>
      </w:r>
      <w:r w:rsidRPr="00A90935">
        <w:rPr>
          <w:rFonts w:ascii="Times New Roman" w:hAnsi="Times New Roman"/>
          <w:sz w:val="24"/>
          <w:szCs w:val="24"/>
        </w:rPr>
        <w:t>N+3</w:t>
      </w:r>
      <w:r>
        <w:rPr>
          <w:rFonts w:ascii="Times New Roman" w:hAnsi="Times New Roman"/>
          <w:sz w:val="24"/>
          <w:szCs w:val="24"/>
        </w:rPr>
        <w:t>. Solo per il FEASR, l’ammissibilità della spesa termina il 31 dicembre 2022. Inoltre, le spese connesse all’iniziativa a favore dell’occupazione giovanile (IOG) sono ammissibili dal 1 settembre 2013. Analogamente con il passato, in linea generale, le spese per essere ammissibili devono essere state sostenute dal beneficiario e pagate nel periodo di ammissibilità. Qualora i costi siano rimborsati attraverso opzioni di semplificazione, le azioni che costituiscono la base per il rimborso (e non quindi le spese) si devono svolgere entro il periodo di ammissibilità, 1 gennaio 2014 - 31 dicembre 2023 (1 settembre 2013 in caso di IOG).</w:t>
      </w:r>
    </w:p>
    <w:p w:rsidR="00021788" w:rsidRPr="00F95391" w:rsidRDefault="00021788" w:rsidP="000B06ED">
      <w:pPr>
        <w:spacing w:after="0" w:line="240" w:lineRule="auto"/>
        <w:jc w:val="both"/>
        <w:rPr>
          <w:rFonts w:ascii="Times New Roman" w:hAnsi="Times New Roman"/>
          <w:sz w:val="20"/>
          <w:szCs w:val="24"/>
        </w:rPr>
      </w:pPr>
    </w:p>
    <w:p w:rsidR="00021788" w:rsidRPr="00A90935" w:rsidRDefault="00021788" w:rsidP="000B06ED">
      <w:pPr>
        <w:spacing w:after="0" w:line="240" w:lineRule="auto"/>
        <w:jc w:val="both"/>
        <w:rPr>
          <w:rFonts w:ascii="Times New Roman" w:hAnsi="Times New Roman"/>
          <w:sz w:val="24"/>
          <w:szCs w:val="24"/>
        </w:rPr>
      </w:pPr>
      <w:r>
        <w:rPr>
          <w:rFonts w:ascii="Times New Roman" w:hAnsi="Times New Roman"/>
          <w:sz w:val="24"/>
          <w:szCs w:val="24"/>
        </w:rPr>
        <w:t>Nel caso in cui una spesa diventi ammissibile a seguito di una</w:t>
      </w:r>
      <w:r w:rsidRPr="00770FE4">
        <w:rPr>
          <w:rFonts w:ascii="Times New Roman" w:hAnsi="Times New Roman"/>
          <w:sz w:val="24"/>
          <w:szCs w:val="24"/>
        </w:rPr>
        <w:t xml:space="preserve"> modifica </w:t>
      </w:r>
      <w:r>
        <w:rPr>
          <w:rFonts w:ascii="Times New Roman" w:hAnsi="Times New Roman"/>
          <w:sz w:val="24"/>
          <w:szCs w:val="24"/>
        </w:rPr>
        <w:t>del</w:t>
      </w:r>
      <w:r w:rsidRPr="00770FE4">
        <w:rPr>
          <w:rFonts w:ascii="Times New Roman" w:hAnsi="Times New Roman"/>
          <w:sz w:val="24"/>
          <w:szCs w:val="24"/>
        </w:rPr>
        <w:t xml:space="preserve"> PO, </w:t>
      </w:r>
      <w:r>
        <w:rPr>
          <w:rFonts w:ascii="Times New Roman" w:hAnsi="Times New Roman"/>
          <w:sz w:val="24"/>
          <w:szCs w:val="24"/>
        </w:rPr>
        <w:t xml:space="preserve">il periodo di ammissibilità decorre dalla data </w:t>
      </w:r>
      <w:r w:rsidRPr="00770FE4">
        <w:rPr>
          <w:rFonts w:ascii="Times New Roman" w:hAnsi="Times New Roman"/>
          <w:sz w:val="24"/>
          <w:szCs w:val="24"/>
        </w:rPr>
        <w:t>di presentazione alla CE dell</w:t>
      </w:r>
      <w:r>
        <w:rPr>
          <w:rFonts w:ascii="Times New Roman" w:hAnsi="Times New Roman"/>
          <w:sz w:val="24"/>
          <w:szCs w:val="24"/>
        </w:rPr>
        <w:t>a richiesta di revisione del PO;</w:t>
      </w:r>
      <w:r w:rsidRPr="00770FE4">
        <w:rPr>
          <w:rFonts w:ascii="Times New Roman" w:hAnsi="Times New Roman"/>
          <w:sz w:val="24"/>
          <w:szCs w:val="24"/>
        </w:rPr>
        <w:t xml:space="preserve"> </w:t>
      </w:r>
      <w:r>
        <w:rPr>
          <w:rFonts w:ascii="Times New Roman" w:hAnsi="Times New Roman"/>
          <w:sz w:val="24"/>
          <w:szCs w:val="24"/>
        </w:rPr>
        <w:t xml:space="preserve">in caso invece di modifica rilevante, ovvero di elementi non contemplati dalla decisione della Commissione, il periodo </w:t>
      </w:r>
      <w:r w:rsidRPr="00770FE4">
        <w:rPr>
          <w:rFonts w:ascii="Times New Roman" w:hAnsi="Times New Roman"/>
          <w:sz w:val="24"/>
          <w:szCs w:val="24"/>
        </w:rPr>
        <w:t>decorrere dall’entrat</w:t>
      </w:r>
      <w:r>
        <w:rPr>
          <w:rFonts w:ascii="Times New Roman" w:hAnsi="Times New Roman"/>
          <w:sz w:val="24"/>
          <w:szCs w:val="24"/>
        </w:rPr>
        <w:t>a</w:t>
      </w:r>
      <w:r w:rsidRPr="00770FE4">
        <w:rPr>
          <w:rFonts w:ascii="Times New Roman" w:hAnsi="Times New Roman"/>
          <w:sz w:val="24"/>
          <w:szCs w:val="24"/>
        </w:rPr>
        <w:t xml:space="preserve"> in vigore della </w:t>
      </w:r>
      <w:r>
        <w:rPr>
          <w:rFonts w:ascii="Times New Roman" w:hAnsi="Times New Roman"/>
          <w:sz w:val="24"/>
          <w:szCs w:val="24"/>
        </w:rPr>
        <w:t xml:space="preserve">nuova </w:t>
      </w:r>
      <w:r w:rsidRPr="00770FE4">
        <w:rPr>
          <w:rFonts w:ascii="Times New Roman" w:hAnsi="Times New Roman"/>
          <w:sz w:val="24"/>
          <w:szCs w:val="24"/>
        </w:rPr>
        <w:t>Decisione che modifica il PO.</w:t>
      </w:r>
    </w:p>
    <w:p w:rsidR="00021788" w:rsidRDefault="00021788" w:rsidP="000B06ED">
      <w:pPr>
        <w:spacing w:after="0" w:line="240" w:lineRule="auto"/>
        <w:jc w:val="both"/>
        <w:rPr>
          <w:rFonts w:ascii="Times New Roman" w:hAnsi="Times New Roman"/>
          <w:sz w:val="24"/>
          <w:szCs w:val="24"/>
        </w:rPr>
      </w:pPr>
      <w:r>
        <w:rPr>
          <w:rFonts w:ascii="Times New Roman" w:hAnsi="Times New Roman"/>
          <w:sz w:val="24"/>
          <w:szCs w:val="24"/>
        </w:rPr>
        <w:t xml:space="preserve">Dal confronto con il </w:t>
      </w:r>
      <w:r w:rsidR="00F95391">
        <w:rPr>
          <w:rFonts w:ascii="Times New Roman" w:hAnsi="Times New Roman"/>
          <w:sz w:val="24"/>
          <w:szCs w:val="24"/>
        </w:rPr>
        <w:t>R</w:t>
      </w:r>
      <w:r>
        <w:rPr>
          <w:rFonts w:ascii="Times New Roman" w:hAnsi="Times New Roman"/>
          <w:sz w:val="24"/>
          <w:szCs w:val="24"/>
        </w:rPr>
        <w:t>eg. gen. 1083/2006, si nota che la previsione di ammettere spese sostenute prima dell’inizio dell’ammissibilità della spesa, purché le operazioni non siano “</w:t>
      </w:r>
      <w:r w:rsidRPr="00A90935">
        <w:rPr>
          <w:rFonts w:ascii="Times New Roman" w:hAnsi="Times New Roman"/>
          <w:i/>
          <w:sz w:val="24"/>
          <w:szCs w:val="24"/>
        </w:rPr>
        <w:t>ultimate prima della data di inizio dell’ammissibilità”</w:t>
      </w:r>
      <w:r>
        <w:rPr>
          <w:rFonts w:ascii="Times New Roman" w:hAnsi="Times New Roman"/>
          <w:i/>
          <w:sz w:val="24"/>
          <w:szCs w:val="24"/>
        </w:rPr>
        <w:t xml:space="preserve">, </w:t>
      </w:r>
      <w:r w:rsidRPr="00CE1E58">
        <w:rPr>
          <w:rFonts w:ascii="Times New Roman" w:hAnsi="Times New Roman"/>
          <w:sz w:val="24"/>
          <w:szCs w:val="24"/>
        </w:rPr>
        <w:t>sembra esser</w:t>
      </w:r>
      <w:r>
        <w:rPr>
          <w:rFonts w:ascii="Times New Roman" w:hAnsi="Times New Roman"/>
          <w:sz w:val="24"/>
          <w:szCs w:val="24"/>
        </w:rPr>
        <w:t xml:space="preserve">e stata sostituita dal comma 6 del reg. 65 del RDC, il quale enuncia un principio generale: </w:t>
      </w:r>
      <w:r w:rsidRPr="00AB3BAD">
        <w:rPr>
          <w:rFonts w:ascii="Times New Roman" w:hAnsi="Times New Roman"/>
          <w:i/>
          <w:sz w:val="24"/>
          <w:szCs w:val="24"/>
        </w:rPr>
        <w:t>le operazioni materialmente terminate o attuate prima della presentazione della domanda di finanziamento da parte del beneficiario non sono selezionate per il sostegno dei fondi,</w:t>
      </w:r>
      <w:r>
        <w:rPr>
          <w:rFonts w:ascii="Times New Roman" w:hAnsi="Times New Roman"/>
          <w:sz w:val="24"/>
          <w:szCs w:val="24"/>
        </w:rPr>
        <w:t xml:space="preserve"> ovvero non sono ammissibili, </w:t>
      </w:r>
      <w:r w:rsidRPr="00AB3BAD">
        <w:rPr>
          <w:rFonts w:ascii="Times New Roman" w:hAnsi="Times New Roman"/>
          <w:i/>
          <w:sz w:val="24"/>
          <w:szCs w:val="24"/>
        </w:rPr>
        <w:t>a prescindere dal fatto che tutti i pagamenti</w:t>
      </w:r>
      <w:r>
        <w:rPr>
          <w:rFonts w:ascii="Times New Roman" w:hAnsi="Times New Roman"/>
          <w:sz w:val="24"/>
          <w:szCs w:val="24"/>
        </w:rPr>
        <w:t xml:space="preserve"> </w:t>
      </w:r>
      <w:r w:rsidRPr="00AB3BAD">
        <w:rPr>
          <w:rFonts w:ascii="Times New Roman" w:hAnsi="Times New Roman"/>
          <w:i/>
          <w:sz w:val="24"/>
          <w:szCs w:val="24"/>
        </w:rPr>
        <w:t>siano stati effettuati dal beneficiario.</w:t>
      </w:r>
      <w:r>
        <w:rPr>
          <w:rFonts w:ascii="Times New Roman" w:hAnsi="Times New Roman"/>
          <w:sz w:val="24"/>
          <w:szCs w:val="24"/>
        </w:rPr>
        <w:t xml:space="preserve"> Con tale norma si lega il periodo di ammissibilità spesa al momento della presentazione della domanda di finanziamento da parte del beneficiario e si precisa che le spese sostenute anteriormente sono ammissibili solamente se l’operazione non è ancora terminata al momento della presentazione della domanda di finanziamento.</w:t>
      </w:r>
    </w:p>
    <w:p w:rsidR="00021788" w:rsidRPr="00F95391" w:rsidRDefault="00021788" w:rsidP="000B06ED">
      <w:pPr>
        <w:spacing w:after="0" w:line="240" w:lineRule="auto"/>
        <w:jc w:val="both"/>
        <w:rPr>
          <w:rFonts w:ascii="Times New Roman" w:hAnsi="Times New Roman"/>
          <w:sz w:val="20"/>
          <w:szCs w:val="24"/>
        </w:rPr>
      </w:pPr>
    </w:p>
    <w:p w:rsidR="00021788" w:rsidRDefault="00021788" w:rsidP="00F95391">
      <w:pPr>
        <w:pStyle w:val="CM1"/>
        <w:jc w:val="both"/>
        <w:rPr>
          <w:rFonts w:ascii="Times New Roman" w:hAnsi="Times New Roman"/>
        </w:rPr>
      </w:pPr>
      <w:r>
        <w:rPr>
          <w:rFonts w:ascii="Times New Roman" w:hAnsi="Times New Roman"/>
        </w:rPr>
        <w:t xml:space="preserve">Sempre relativamente all’art. 65 del Reg. Gen. 1303/2013, il comma 8 riguarda le operazioni generatrici di entrate nette ed enuncia il principio generale per cui le spese complessive di </w:t>
      </w:r>
      <w:r>
        <w:rPr>
          <w:rFonts w:ascii="Times New Roman" w:hAnsi="Times New Roman"/>
        </w:rPr>
        <w:lastRenderedPageBreak/>
        <w:t xml:space="preserve">un’operazione sono ridotte delle entrate (ricavi) non considerate al momento dell’approvazione dell’operazione stessa. Tale disposizione, analoga a quella contenuta all’art. 55 del </w:t>
      </w:r>
      <w:r w:rsidR="00F95391">
        <w:rPr>
          <w:rFonts w:ascii="Times New Roman" w:hAnsi="Times New Roman"/>
        </w:rPr>
        <w:t>R</w:t>
      </w:r>
      <w:r>
        <w:rPr>
          <w:rFonts w:ascii="Times New Roman" w:hAnsi="Times New Roman"/>
        </w:rPr>
        <w:t>eg. 1083/2006, non si applica però ad una serie di interventi tra cui l’assistenza tecnica, gli strumenti di ingegneria finanziaria, le operazioni soggette alle norme sugli aiuti di stato e le operazioni finanziate attraverso opzioni di semplificazione, purché si sia tenuto delle entrate nette nella fase ex ante di definizione delle somme forfettarie e degli standard di costo.</w:t>
      </w:r>
    </w:p>
    <w:p w:rsidR="00021788" w:rsidRPr="00F95391" w:rsidRDefault="00021788" w:rsidP="00F95391">
      <w:pPr>
        <w:spacing w:after="0"/>
        <w:rPr>
          <w:rFonts w:ascii="Times New Roman" w:hAnsi="Times New Roman"/>
          <w:sz w:val="20"/>
        </w:rPr>
      </w:pPr>
    </w:p>
    <w:p w:rsidR="00021788" w:rsidRDefault="00021788" w:rsidP="00F95391">
      <w:pPr>
        <w:pStyle w:val="CM1"/>
        <w:jc w:val="both"/>
        <w:rPr>
          <w:rFonts w:ascii="Times New Roman" w:hAnsi="Times New Roman"/>
        </w:rPr>
      </w:pPr>
      <w:r w:rsidRPr="00AE15F1">
        <w:rPr>
          <w:rFonts w:ascii="Times New Roman" w:hAnsi="Times New Roman"/>
        </w:rPr>
        <w:t xml:space="preserve">In continuità con il passato (cfr. art. 54 del Reg. </w:t>
      </w:r>
      <w:proofErr w:type="spellStart"/>
      <w:r w:rsidRPr="00AE15F1">
        <w:rPr>
          <w:rFonts w:ascii="Times New Roman" w:hAnsi="Times New Roman"/>
        </w:rPr>
        <w:t>Gen</w:t>
      </w:r>
      <w:proofErr w:type="spellEnd"/>
      <w:r w:rsidRPr="00AE15F1">
        <w:rPr>
          <w:rFonts w:ascii="Times New Roman" w:hAnsi="Times New Roman"/>
        </w:rPr>
        <w:t xml:space="preserve"> 1083/2006), il comma 11 riguarda, poi, il finanziamento incrociato, ovvero la possibilità per un’operazione di ricevere il sostegno da uno o più fondi SIE o da uno o più PO o da altri strumenti dell’Unione, purché la voce di spesa indicata in una richiesta di pagamento non riceva un doppio sostegno.</w:t>
      </w:r>
      <w:r>
        <w:rPr>
          <w:rFonts w:ascii="Times New Roman" w:hAnsi="Times New Roman"/>
        </w:rPr>
        <w:t xml:space="preserve"> </w:t>
      </w:r>
    </w:p>
    <w:p w:rsidR="00021788" w:rsidRPr="00F95391" w:rsidRDefault="00021788" w:rsidP="00F95391">
      <w:pPr>
        <w:spacing w:after="0"/>
        <w:rPr>
          <w:rFonts w:ascii="Times New Roman" w:hAnsi="Times New Roman"/>
          <w:sz w:val="20"/>
        </w:rPr>
      </w:pPr>
    </w:p>
    <w:p w:rsidR="00021788" w:rsidRDefault="00021788" w:rsidP="00F95391">
      <w:pPr>
        <w:pStyle w:val="CM1"/>
        <w:jc w:val="both"/>
        <w:rPr>
          <w:rFonts w:ascii="Times New Roman" w:hAnsi="Times New Roman"/>
        </w:rPr>
      </w:pPr>
      <w:r>
        <w:rPr>
          <w:rFonts w:ascii="Times New Roman" w:hAnsi="Times New Roman"/>
        </w:rPr>
        <w:t xml:space="preserve">Un ultimo punto di attenzione che emerge dal confronto tra l’art. 65 del </w:t>
      </w:r>
      <w:r w:rsidR="00F95391">
        <w:rPr>
          <w:rFonts w:ascii="Times New Roman" w:hAnsi="Times New Roman"/>
        </w:rPr>
        <w:t>R</w:t>
      </w:r>
      <w:r>
        <w:rPr>
          <w:rFonts w:ascii="Times New Roman" w:hAnsi="Times New Roman"/>
        </w:rPr>
        <w:t xml:space="preserve">eg. 1303/2013 e l’art. 56 del </w:t>
      </w:r>
      <w:r w:rsidR="00F95391">
        <w:rPr>
          <w:rFonts w:ascii="Times New Roman" w:hAnsi="Times New Roman"/>
        </w:rPr>
        <w:t xml:space="preserve">Reg. </w:t>
      </w:r>
      <w:r>
        <w:rPr>
          <w:rFonts w:ascii="Times New Roman" w:hAnsi="Times New Roman"/>
        </w:rPr>
        <w:t>1</w:t>
      </w:r>
      <w:r w:rsidR="00F95391">
        <w:rPr>
          <w:rFonts w:ascii="Times New Roman" w:hAnsi="Times New Roman"/>
        </w:rPr>
        <w:t>083</w:t>
      </w:r>
      <w:r>
        <w:rPr>
          <w:rFonts w:ascii="Times New Roman" w:hAnsi="Times New Roman"/>
        </w:rPr>
        <w:t>/2006 è la connessione tra l’ammissibilità della spesa e i criteri di selezione fissati dal comitato di sorveglianza. In effetti, al comma 3 dell’art. 56 veniva esplicitato che la spesa è ammissibile se sostenuta per operazioni decise dall’</w:t>
      </w:r>
      <w:proofErr w:type="spellStart"/>
      <w:r>
        <w:rPr>
          <w:rFonts w:ascii="Times New Roman" w:hAnsi="Times New Roman"/>
        </w:rPr>
        <w:t>AdG</w:t>
      </w:r>
      <w:proofErr w:type="spellEnd"/>
      <w:r>
        <w:rPr>
          <w:rFonts w:ascii="Times New Roman" w:hAnsi="Times New Roman"/>
        </w:rPr>
        <w:t xml:space="preserve"> del PO o sotto la sua responsabilità, conformemente ai criteri fissati dal </w:t>
      </w:r>
      <w:proofErr w:type="spellStart"/>
      <w:r>
        <w:rPr>
          <w:rFonts w:ascii="Times New Roman" w:hAnsi="Times New Roman"/>
        </w:rPr>
        <w:t>CdS</w:t>
      </w:r>
      <w:proofErr w:type="spellEnd"/>
      <w:r>
        <w:rPr>
          <w:rFonts w:ascii="Times New Roman" w:hAnsi="Times New Roman"/>
        </w:rPr>
        <w:t>.</w:t>
      </w:r>
    </w:p>
    <w:p w:rsidR="00021788" w:rsidRPr="00F95391" w:rsidRDefault="00021788" w:rsidP="00F95391">
      <w:pPr>
        <w:spacing w:after="0"/>
        <w:rPr>
          <w:rFonts w:ascii="Times New Roman" w:hAnsi="Times New Roman"/>
          <w:sz w:val="20"/>
        </w:rPr>
      </w:pPr>
    </w:p>
    <w:p w:rsidR="00021788" w:rsidRDefault="00021788" w:rsidP="00F95391">
      <w:pPr>
        <w:pStyle w:val="CM1"/>
        <w:jc w:val="both"/>
        <w:rPr>
          <w:rFonts w:ascii="Times New Roman" w:hAnsi="Times New Roman"/>
          <w:u w:val="single"/>
        </w:rPr>
      </w:pPr>
      <w:r>
        <w:rPr>
          <w:rFonts w:ascii="Times New Roman" w:hAnsi="Times New Roman"/>
        </w:rPr>
        <w:t xml:space="preserve">Proseguendo la disamina degli articoli relativi all’ammissibilità della spesa, l’art. 69 tratta i così detti oneri </w:t>
      </w:r>
      <w:r w:rsidRPr="00814A9F">
        <w:rPr>
          <w:rFonts w:ascii="Times New Roman" w:hAnsi="Times New Roman"/>
          <w:i/>
        </w:rPr>
        <w:t>fittizi</w:t>
      </w:r>
      <w:r>
        <w:rPr>
          <w:rFonts w:ascii="Times New Roman" w:hAnsi="Times New Roman"/>
        </w:rPr>
        <w:t>, ovvero</w:t>
      </w:r>
      <w:r w:rsidRPr="00A90935">
        <w:rPr>
          <w:rFonts w:ascii="Times New Roman" w:hAnsi="Times New Roman"/>
        </w:rPr>
        <w:t xml:space="preserve"> i </w:t>
      </w:r>
      <w:r w:rsidRPr="00A90935">
        <w:rPr>
          <w:rFonts w:ascii="Times New Roman" w:hAnsi="Times New Roman"/>
          <w:u w:val="single"/>
        </w:rPr>
        <w:t>contributi in natura</w:t>
      </w:r>
      <w:r w:rsidRPr="00A90935">
        <w:rPr>
          <w:rFonts w:ascii="Times New Roman" w:hAnsi="Times New Roman"/>
        </w:rPr>
        <w:t xml:space="preserve">, le </w:t>
      </w:r>
      <w:r w:rsidRPr="00A90935">
        <w:rPr>
          <w:rFonts w:ascii="Times New Roman" w:hAnsi="Times New Roman"/>
          <w:u w:val="single"/>
        </w:rPr>
        <w:t>spese di ammortamento</w:t>
      </w:r>
      <w:r w:rsidRPr="00A90935">
        <w:rPr>
          <w:rFonts w:ascii="Times New Roman" w:hAnsi="Times New Roman"/>
        </w:rPr>
        <w:t xml:space="preserve"> e le </w:t>
      </w:r>
      <w:r w:rsidRPr="00A90935">
        <w:rPr>
          <w:rFonts w:ascii="Times New Roman" w:hAnsi="Times New Roman"/>
          <w:u w:val="single"/>
        </w:rPr>
        <w:t xml:space="preserve">spese </w:t>
      </w:r>
      <w:r>
        <w:rPr>
          <w:rFonts w:ascii="Times New Roman" w:hAnsi="Times New Roman"/>
          <w:u w:val="single"/>
        </w:rPr>
        <w:t>non ammissibili.</w:t>
      </w:r>
    </w:p>
    <w:p w:rsidR="00021788" w:rsidRDefault="00021788" w:rsidP="000B06ED">
      <w:pPr>
        <w:spacing w:after="0" w:line="240" w:lineRule="auto"/>
        <w:jc w:val="both"/>
        <w:rPr>
          <w:rFonts w:ascii="Times New Roman" w:hAnsi="Times New Roman"/>
          <w:sz w:val="24"/>
          <w:szCs w:val="24"/>
        </w:rPr>
      </w:pPr>
      <w:r w:rsidRPr="00711FDA">
        <w:rPr>
          <w:rFonts w:ascii="Times New Roman" w:hAnsi="Times New Roman"/>
          <w:sz w:val="24"/>
          <w:szCs w:val="24"/>
        </w:rPr>
        <w:t xml:space="preserve">Nel caso di spese di ammortamento, non si rilevano particolari novità rispetto al passato. </w:t>
      </w:r>
    </w:p>
    <w:p w:rsidR="00021788" w:rsidRPr="00711FDA" w:rsidRDefault="00021788" w:rsidP="00F95391">
      <w:pPr>
        <w:spacing w:after="0" w:line="240" w:lineRule="auto"/>
        <w:jc w:val="both"/>
        <w:rPr>
          <w:rFonts w:ascii="Times New Roman" w:hAnsi="Times New Roman"/>
          <w:sz w:val="24"/>
          <w:szCs w:val="24"/>
        </w:rPr>
      </w:pPr>
      <w:r>
        <w:rPr>
          <w:rFonts w:ascii="Times New Roman" w:hAnsi="Times New Roman"/>
          <w:sz w:val="24"/>
          <w:szCs w:val="24"/>
        </w:rPr>
        <w:t>Anche per i</w:t>
      </w:r>
      <w:r w:rsidRPr="00711FDA">
        <w:rPr>
          <w:rFonts w:ascii="Times New Roman" w:hAnsi="Times New Roman"/>
          <w:sz w:val="24"/>
          <w:szCs w:val="24"/>
        </w:rPr>
        <w:t xml:space="preserve"> contributi in natura, </w:t>
      </w:r>
      <w:r>
        <w:rPr>
          <w:rFonts w:ascii="Times New Roman" w:hAnsi="Times New Roman"/>
          <w:sz w:val="24"/>
          <w:szCs w:val="24"/>
        </w:rPr>
        <w:t xml:space="preserve">sebbene </w:t>
      </w:r>
      <w:r w:rsidRPr="00711FDA">
        <w:rPr>
          <w:rFonts w:ascii="Times New Roman" w:hAnsi="Times New Roman"/>
          <w:sz w:val="24"/>
          <w:szCs w:val="24"/>
        </w:rPr>
        <w:t>il nuovo regolamento propon</w:t>
      </w:r>
      <w:r>
        <w:rPr>
          <w:rFonts w:ascii="Times New Roman" w:hAnsi="Times New Roman"/>
          <w:sz w:val="24"/>
          <w:szCs w:val="24"/>
        </w:rPr>
        <w:t>ga</w:t>
      </w:r>
      <w:r w:rsidRPr="00711FDA">
        <w:rPr>
          <w:rFonts w:ascii="Times New Roman" w:hAnsi="Times New Roman"/>
          <w:sz w:val="24"/>
          <w:szCs w:val="24"/>
        </w:rPr>
        <w:t xml:space="preserve"> una trattazione certamente più ampia di quella contenuta all’art. 56 del </w:t>
      </w:r>
      <w:r w:rsidR="00F95391">
        <w:rPr>
          <w:rFonts w:ascii="Times New Roman" w:hAnsi="Times New Roman"/>
          <w:sz w:val="24"/>
          <w:szCs w:val="24"/>
        </w:rPr>
        <w:t>R</w:t>
      </w:r>
      <w:r w:rsidRPr="00711FDA">
        <w:rPr>
          <w:rFonts w:ascii="Times New Roman" w:hAnsi="Times New Roman"/>
          <w:sz w:val="24"/>
          <w:szCs w:val="24"/>
        </w:rPr>
        <w:t>eg. gen. per la programmazi</w:t>
      </w:r>
      <w:r>
        <w:rPr>
          <w:rFonts w:ascii="Times New Roman" w:hAnsi="Times New Roman"/>
          <w:sz w:val="24"/>
          <w:szCs w:val="24"/>
        </w:rPr>
        <w:t xml:space="preserve">one 2007-2013, </w:t>
      </w:r>
      <w:r w:rsidRPr="00711FDA">
        <w:rPr>
          <w:rFonts w:ascii="Times New Roman" w:hAnsi="Times New Roman"/>
          <w:sz w:val="24"/>
          <w:szCs w:val="24"/>
        </w:rPr>
        <w:t xml:space="preserve">non si rilevano importanti novità poiché, in continuità anche con il </w:t>
      </w:r>
      <w:r w:rsidR="00F95391">
        <w:rPr>
          <w:rFonts w:ascii="Times New Roman" w:hAnsi="Times New Roman"/>
          <w:sz w:val="24"/>
          <w:szCs w:val="24"/>
        </w:rPr>
        <w:t>R</w:t>
      </w:r>
      <w:r w:rsidRPr="00711FDA">
        <w:rPr>
          <w:rFonts w:ascii="Times New Roman" w:hAnsi="Times New Roman"/>
          <w:sz w:val="24"/>
          <w:szCs w:val="24"/>
        </w:rPr>
        <w:t xml:space="preserve">eg. 1685/2000 che riguardava la programmazione 2000-2006, disposizioni simili </w:t>
      </w:r>
      <w:r>
        <w:rPr>
          <w:rFonts w:ascii="Times New Roman" w:hAnsi="Times New Roman"/>
          <w:sz w:val="24"/>
          <w:szCs w:val="24"/>
        </w:rPr>
        <w:t>sono presenti</w:t>
      </w:r>
      <w:r w:rsidRPr="00711FDA">
        <w:rPr>
          <w:rFonts w:ascii="Times New Roman" w:hAnsi="Times New Roman"/>
          <w:sz w:val="24"/>
          <w:szCs w:val="24"/>
        </w:rPr>
        <w:t xml:space="preserve"> nella norma nazionale (DPR n. 196/2008). Vengono</w:t>
      </w:r>
      <w:r>
        <w:rPr>
          <w:rFonts w:ascii="Times New Roman" w:hAnsi="Times New Roman"/>
          <w:sz w:val="24"/>
          <w:szCs w:val="24"/>
        </w:rPr>
        <w:t>,</w:t>
      </w:r>
      <w:r w:rsidRPr="00711FDA">
        <w:rPr>
          <w:rFonts w:ascii="Times New Roman" w:hAnsi="Times New Roman"/>
          <w:sz w:val="24"/>
          <w:szCs w:val="24"/>
        </w:rPr>
        <w:t xml:space="preserve"> quindi</w:t>
      </w:r>
      <w:r>
        <w:rPr>
          <w:rFonts w:ascii="Times New Roman" w:hAnsi="Times New Roman"/>
          <w:sz w:val="24"/>
          <w:szCs w:val="24"/>
        </w:rPr>
        <w:t>,</w:t>
      </w:r>
      <w:r w:rsidRPr="00711FDA">
        <w:rPr>
          <w:rFonts w:ascii="Times New Roman" w:hAnsi="Times New Roman"/>
          <w:sz w:val="24"/>
          <w:szCs w:val="24"/>
        </w:rPr>
        <w:t xml:space="preserve"> considerati ammissibili come contributi in natura la fornitura di opere, beni, servizi, terreni e immobili a condizione che non vi sia stato alcun pagamento in contanti giustificato da fatture o altri documenti equivalenti.</w:t>
      </w:r>
    </w:p>
    <w:p w:rsidR="00021788" w:rsidRPr="00F95391" w:rsidRDefault="00021788" w:rsidP="00F95391">
      <w:pPr>
        <w:spacing w:after="0"/>
        <w:rPr>
          <w:rFonts w:ascii="Times New Roman" w:hAnsi="Times New Roman"/>
          <w:sz w:val="20"/>
          <w:lang w:eastAsia="it-IT"/>
        </w:rPr>
      </w:pPr>
    </w:p>
    <w:p w:rsidR="00021788" w:rsidRDefault="00021788" w:rsidP="00F95391">
      <w:pPr>
        <w:spacing w:after="0" w:line="240" w:lineRule="auto"/>
        <w:jc w:val="both"/>
        <w:rPr>
          <w:rFonts w:ascii="Times New Roman" w:hAnsi="Times New Roman"/>
          <w:sz w:val="24"/>
          <w:szCs w:val="24"/>
        </w:rPr>
      </w:pPr>
      <w:r>
        <w:rPr>
          <w:rFonts w:ascii="Times New Roman" w:hAnsi="Times New Roman"/>
          <w:sz w:val="24"/>
          <w:szCs w:val="24"/>
        </w:rPr>
        <w:t>Il terzo comma dell</w:t>
      </w:r>
      <w:r w:rsidRPr="00A90935">
        <w:rPr>
          <w:rFonts w:ascii="Times New Roman" w:hAnsi="Times New Roman"/>
          <w:sz w:val="24"/>
          <w:szCs w:val="24"/>
        </w:rPr>
        <w:t xml:space="preserve">’art. 69 del </w:t>
      </w:r>
      <w:r>
        <w:rPr>
          <w:rFonts w:ascii="Times New Roman" w:hAnsi="Times New Roman"/>
          <w:sz w:val="24"/>
          <w:szCs w:val="24"/>
        </w:rPr>
        <w:t>RDC riguarda, infine, le spese non ammissibili al contributo dei fondi SIE che, nella programmazione 2007-2013, sono invece elencate nei regolamenti specifici dei fondi 2007-2013.</w:t>
      </w:r>
    </w:p>
    <w:p w:rsidR="00021788" w:rsidRPr="00F95391" w:rsidRDefault="00021788" w:rsidP="00F95391">
      <w:pPr>
        <w:spacing w:after="0" w:line="240" w:lineRule="auto"/>
        <w:jc w:val="both"/>
        <w:rPr>
          <w:rFonts w:ascii="Times New Roman" w:hAnsi="Times New Roman"/>
          <w:sz w:val="20"/>
          <w:szCs w:val="24"/>
        </w:rPr>
      </w:pPr>
    </w:p>
    <w:p w:rsidR="00021788" w:rsidRDefault="00021788" w:rsidP="00F95391">
      <w:pPr>
        <w:spacing w:after="0" w:line="240" w:lineRule="auto"/>
        <w:jc w:val="both"/>
        <w:rPr>
          <w:rFonts w:ascii="Times New Roman" w:hAnsi="Times New Roman"/>
          <w:sz w:val="24"/>
          <w:szCs w:val="24"/>
        </w:rPr>
      </w:pPr>
      <w:r>
        <w:rPr>
          <w:rFonts w:ascii="Times New Roman" w:hAnsi="Times New Roman"/>
          <w:sz w:val="24"/>
          <w:szCs w:val="24"/>
        </w:rPr>
        <w:t xml:space="preserve">Un’attenzione particolare merita l’articolo 70 del RDC relativo all’ammissibilità delle operazioni a seconda dell’ubicazione. Si ricorda che tale aspetto, trattato nella scheda 12 del </w:t>
      </w:r>
      <w:r w:rsidR="00F95391">
        <w:rPr>
          <w:rFonts w:ascii="Times New Roman" w:hAnsi="Times New Roman"/>
          <w:sz w:val="24"/>
          <w:szCs w:val="24"/>
        </w:rPr>
        <w:t>R</w:t>
      </w:r>
      <w:r>
        <w:rPr>
          <w:rFonts w:ascii="Times New Roman" w:hAnsi="Times New Roman"/>
          <w:sz w:val="24"/>
          <w:szCs w:val="24"/>
        </w:rPr>
        <w:t>eg. 1685/2000, non è stato recepito nella norma nazionale del periodo 2007-2013, tuttavia una serie di note della CE hanno chiarito nel tempo l’importanza che gli interventi, per essere ammissibili, offrano un vantaggio per il territorio o che abbiamo una ricaduta nell’area di riferimento del PO. L’articolo in esame sembra confermare tali principi generali e definisce le condizioni per finanziarie operazioni al di fuori dell’area del programma. Si segnala inoltre un’apertura con riferimento alle operazioni di assistenza tecnica o promozionali, per le quali è possibile sostenere spese anche al di fuori dell’Unione, nel rispetto però di determinate condizioni.</w:t>
      </w:r>
    </w:p>
    <w:p w:rsidR="00021788" w:rsidRPr="00F95391" w:rsidRDefault="00021788" w:rsidP="000B06ED">
      <w:pPr>
        <w:spacing w:after="0" w:line="240" w:lineRule="auto"/>
        <w:jc w:val="both"/>
        <w:rPr>
          <w:rFonts w:ascii="Times New Roman" w:hAnsi="Times New Roman"/>
          <w:sz w:val="20"/>
          <w:szCs w:val="24"/>
        </w:rPr>
      </w:pPr>
    </w:p>
    <w:p w:rsidR="00021788" w:rsidRDefault="00021788" w:rsidP="000B06ED">
      <w:pPr>
        <w:spacing w:after="0" w:line="240" w:lineRule="auto"/>
        <w:jc w:val="both"/>
        <w:rPr>
          <w:rFonts w:ascii="Times New Roman" w:hAnsi="Times New Roman"/>
          <w:sz w:val="24"/>
          <w:szCs w:val="24"/>
        </w:rPr>
      </w:pPr>
      <w:r>
        <w:rPr>
          <w:rFonts w:ascii="Times New Roman" w:hAnsi="Times New Roman"/>
          <w:sz w:val="24"/>
          <w:szCs w:val="24"/>
        </w:rPr>
        <w:t xml:space="preserve">In ultimo, a completamento dell’esame degli articoli relativi all’ammissibilità della spesa </w:t>
      </w:r>
      <w:r w:rsidRPr="00A90935">
        <w:rPr>
          <w:rFonts w:ascii="Times New Roman" w:hAnsi="Times New Roman"/>
          <w:sz w:val="24"/>
          <w:szCs w:val="24"/>
        </w:rPr>
        <w:t xml:space="preserve">per il </w:t>
      </w:r>
      <w:r>
        <w:rPr>
          <w:rFonts w:ascii="Times New Roman" w:hAnsi="Times New Roman"/>
          <w:sz w:val="24"/>
          <w:szCs w:val="24"/>
        </w:rPr>
        <w:t>p</w:t>
      </w:r>
      <w:r w:rsidRPr="00A90935">
        <w:rPr>
          <w:rFonts w:ascii="Times New Roman" w:hAnsi="Times New Roman"/>
          <w:sz w:val="24"/>
          <w:szCs w:val="24"/>
        </w:rPr>
        <w:t xml:space="preserve">eriodo 2014-2020, </w:t>
      </w:r>
      <w:r>
        <w:rPr>
          <w:rFonts w:ascii="Times New Roman" w:hAnsi="Times New Roman"/>
          <w:sz w:val="24"/>
          <w:szCs w:val="24"/>
        </w:rPr>
        <w:t xml:space="preserve">si evidenzia come </w:t>
      </w:r>
      <w:r w:rsidRPr="00A90935">
        <w:rPr>
          <w:rFonts w:ascii="Times New Roman" w:hAnsi="Times New Roman"/>
          <w:sz w:val="24"/>
          <w:szCs w:val="24"/>
        </w:rPr>
        <w:t xml:space="preserve">l’art. 13 del Reg FSE 1304/2013 </w:t>
      </w:r>
      <w:r>
        <w:rPr>
          <w:rFonts w:ascii="Times New Roman" w:hAnsi="Times New Roman"/>
          <w:sz w:val="24"/>
          <w:szCs w:val="24"/>
        </w:rPr>
        <w:t>si differenzi dal</w:t>
      </w:r>
      <w:r w:rsidRPr="00A90935">
        <w:rPr>
          <w:rFonts w:ascii="Times New Roman" w:hAnsi="Times New Roman"/>
          <w:sz w:val="24"/>
          <w:szCs w:val="24"/>
        </w:rPr>
        <w:t>l’art 11 del Reg FSE 1081/2006</w:t>
      </w:r>
      <w:r>
        <w:rPr>
          <w:rFonts w:ascii="Times New Roman" w:hAnsi="Times New Roman"/>
          <w:sz w:val="24"/>
          <w:szCs w:val="24"/>
        </w:rPr>
        <w:t xml:space="preserve"> soprattutto nella struttura. Alcune delle specificità enunciate all’art. 11 del vecchio regolamento sono rinvenibili, infatti, in altri articoli del RDC e/o del </w:t>
      </w:r>
      <w:r w:rsidR="00F95391">
        <w:rPr>
          <w:rFonts w:ascii="Times New Roman" w:hAnsi="Times New Roman"/>
          <w:sz w:val="24"/>
          <w:szCs w:val="24"/>
        </w:rPr>
        <w:t>R</w:t>
      </w:r>
      <w:r>
        <w:rPr>
          <w:rFonts w:ascii="Times New Roman" w:hAnsi="Times New Roman"/>
          <w:sz w:val="24"/>
          <w:szCs w:val="24"/>
        </w:rPr>
        <w:t>eg. FSE (es. artt. 67 e 14 sulla semplificazione dei costi).</w:t>
      </w:r>
    </w:p>
    <w:p w:rsidR="00F95391" w:rsidRPr="00F95391" w:rsidRDefault="00F95391" w:rsidP="000B06ED">
      <w:pPr>
        <w:spacing w:after="0" w:line="240" w:lineRule="auto"/>
        <w:jc w:val="both"/>
        <w:rPr>
          <w:rFonts w:ascii="Times New Roman" w:hAnsi="Times New Roman"/>
          <w:sz w:val="20"/>
          <w:szCs w:val="24"/>
        </w:rPr>
      </w:pPr>
    </w:p>
    <w:p w:rsidR="00021788" w:rsidRDefault="00021788" w:rsidP="00F95391">
      <w:pPr>
        <w:spacing w:after="0" w:line="240" w:lineRule="auto"/>
        <w:jc w:val="both"/>
        <w:rPr>
          <w:rFonts w:ascii="Times New Roman" w:hAnsi="Times New Roman"/>
        </w:rPr>
      </w:pPr>
      <w:r>
        <w:rPr>
          <w:rFonts w:ascii="Times New Roman" w:hAnsi="Times New Roman"/>
          <w:sz w:val="24"/>
          <w:szCs w:val="24"/>
        </w:rPr>
        <w:t>Ciò che si intende evidenziare</w:t>
      </w:r>
      <w:r w:rsidRPr="00B27371">
        <w:rPr>
          <w:rFonts w:ascii="Times New Roman" w:hAnsi="Times New Roman"/>
          <w:sz w:val="24"/>
          <w:szCs w:val="24"/>
        </w:rPr>
        <w:t xml:space="preserve"> </w:t>
      </w:r>
      <w:r>
        <w:rPr>
          <w:rFonts w:ascii="Times New Roman" w:hAnsi="Times New Roman"/>
          <w:sz w:val="24"/>
          <w:szCs w:val="24"/>
        </w:rPr>
        <w:t xml:space="preserve">riguarda la possibilità per la programmazione 2014-2020 di ammettere al FSE spese connesse all’acquisto di beni mobili, attrezzature e veicoli. Ciò si desume dal venir meno del divieto di acquisto di tali beni presente, invece, all’art. 11 comma 2 </w:t>
      </w:r>
      <w:proofErr w:type="spellStart"/>
      <w:r>
        <w:rPr>
          <w:rFonts w:ascii="Times New Roman" w:hAnsi="Times New Roman"/>
          <w:sz w:val="24"/>
          <w:szCs w:val="24"/>
        </w:rPr>
        <w:t>lett</w:t>
      </w:r>
      <w:proofErr w:type="spellEnd"/>
      <w:r>
        <w:rPr>
          <w:rFonts w:ascii="Times New Roman" w:hAnsi="Times New Roman"/>
          <w:sz w:val="24"/>
          <w:szCs w:val="24"/>
        </w:rPr>
        <w:t>. c del reg. 1081/2006della passata programmazione.</w:t>
      </w:r>
    </w:p>
    <w:sectPr w:rsidR="00021788" w:rsidSect="003A761F">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EC5" w:rsidRDefault="00752EC5" w:rsidP="00C44A07">
      <w:pPr>
        <w:spacing w:after="0" w:line="240" w:lineRule="auto"/>
      </w:pPr>
      <w:r>
        <w:separator/>
      </w:r>
    </w:p>
  </w:endnote>
  <w:endnote w:type="continuationSeparator" w:id="0">
    <w:p w:rsidR="00752EC5" w:rsidRDefault="00752EC5" w:rsidP="00C44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788" w:rsidRDefault="00021788" w:rsidP="008318A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021788" w:rsidRDefault="00021788" w:rsidP="000E01C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788" w:rsidRDefault="00021788" w:rsidP="008318A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3F2252">
      <w:rPr>
        <w:rStyle w:val="Numeropagina"/>
        <w:noProof/>
      </w:rPr>
      <w:t>7</w:t>
    </w:r>
    <w:r>
      <w:rPr>
        <w:rStyle w:val="Numeropagina"/>
      </w:rPr>
      <w:fldChar w:fldCharType="end"/>
    </w:r>
  </w:p>
  <w:p w:rsidR="00021788" w:rsidRDefault="00021788" w:rsidP="000E01CA">
    <w:pPr>
      <w:pStyle w:val="Pidipagina"/>
      <w:ind w:right="360"/>
      <w:jc w:val="right"/>
    </w:pPr>
  </w:p>
  <w:p w:rsidR="00021788" w:rsidRPr="003F2252" w:rsidRDefault="00F95391" w:rsidP="00F95391">
    <w:pPr>
      <w:pStyle w:val="Pidipagina"/>
      <w:jc w:val="center"/>
      <w:rPr>
        <w:rFonts w:ascii="Times New Roman" w:hAnsi="Times New Roman"/>
        <w:sz w:val="20"/>
      </w:rPr>
    </w:pPr>
    <w:bookmarkStart w:id="0" w:name="_GoBack"/>
    <w:r w:rsidRPr="003F2252">
      <w:rPr>
        <w:rFonts w:ascii="Times New Roman" w:hAnsi="Times New Roman"/>
        <w:sz w:val="20"/>
      </w:rPr>
      <w:t xml:space="preserve">Tecnostruttura delle Regioni – </w:t>
    </w:r>
    <w:proofErr w:type="spellStart"/>
    <w:r w:rsidRPr="003F2252">
      <w:rPr>
        <w:rFonts w:ascii="Times New Roman" w:hAnsi="Times New Roman"/>
        <w:sz w:val="20"/>
      </w:rPr>
      <w:t>All</w:t>
    </w:r>
    <w:proofErr w:type="spellEnd"/>
    <w:r w:rsidRPr="003F2252">
      <w:rPr>
        <w:rFonts w:ascii="Times New Roman" w:hAnsi="Times New Roman"/>
        <w:sz w:val="20"/>
      </w:rPr>
      <w:t xml:space="preserve"> 1 al </w:t>
    </w:r>
    <w:proofErr w:type="spellStart"/>
    <w:r w:rsidRPr="003F2252">
      <w:rPr>
        <w:rFonts w:ascii="Times New Roman" w:hAnsi="Times New Roman"/>
        <w:sz w:val="20"/>
      </w:rPr>
      <w:t>prot</w:t>
    </w:r>
    <w:proofErr w:type="spellEnd"/>
    <w:r w:rsidRPr="003F2252">
      <w:rPr>
        <w:rFonts w:ascii="Times New Roman" w:hAnsi="Times New Roman"/>
        <w:sz w:val="20"/>
      </w:rPr>
      <w:t>. 1286/FSE del 19 maggio 2014</w: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252" w:rsidRDefault="003F225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EC5" w:rsidRDefault="00752EC5" w:rsidP="00C44A07">
      <w:pPr>
        <w:spacing w:after="0" w:line="240" w:lineRule="auto"/>
      </w:pPr>
      <w:r>
        <w:separator/>
      </w:r>
    </w:p>
  </w:footnote>
  <w:footnote w:type="continuationSeparator" w:id="0">
    <w:p w:rsidR="00752EC5" w:rsidRDefault="00752EC5" w:rsidP="00C44A07">
      <w:pPr>
        <w:spacing w:after="0" w:line="240" w:lineRule="auto"/>
      </w:pPr>
      <w:r>
        <w:continuationSeparator/>
      </w:r>
    </w:p>
  </w:footnote>
  <w:footnote w:id="1">
    <w:p w:rsidR="00021788" w:rsidRPr="00F95391" w:rsidRDefault="00021788" w:rsidP="00F95391">
      <w:pPr>
        <w:spacing w:line="276" w:lineRule="auto"/>
        <w:ind w:left="142" w:hanging="142"/>
        <w:jc w:val="both"/>
        <w:rPr>
          <w:rFonts w:ascii="Times New Roman" w:hAnsi="Times New Roman"/>
          <w:sz w:val="20"/>
          <w:szCs w:val="20"/>
        </w:rPr>
      </w:pPr>
      <w:r w:rsidRPr="000D7EE2">
        <w:rPr>
          <w:rStyle w:val="Rimandonotaapidipagina"/>
          <w:sz w:val="20"/>
          <w:szCs w:val="20"/>
        </w:rPr>
        <w:footnoteRef/>
      </w:r>
      <w:r w:rsidRPr="000D7EE2">
        <w:rPr>
          <w:sz w:val="20"/>
          <w:szCs w:val="20"/>
        </w:rPr>
        <w:t xml:space="preserve"> </w:t>
      </w:r>
      <w:r w:rsidRPr="000D7EE2">
        <w:rPr>
          <w:rFonts w:ascii="Times New Roman" w:hAnsi="Times New Roman"/>
          <w:sz w:val="20"/>
          <w:szCs w:val="20"/>
        </w:rPr>
        <w:t xml:space="preserve">Si ricorda che, in attuazione dell’art. 56 del </w:t>
      </w:r>
      <w:r w:rsidR="00F95391">
        <w:rPr>
          <w:rFonts w:ascii="Times New Roman" w:hAnsi="Times New Roman"/>
          <w:sz w:val="20"/>
          <w:szCs w:val="20"/>
        </w:rPr>
        <w:t>R</w:t>
      </w:r>
      <w:r w:rsidRPr="000D7EE2">
        <w:rPr>
          <w:rFonts w:ascii="Times New Roman" w:hAnsi="Times New Roman"/>
          <w:sz w:val="20"/>
          <w:szCs w:val="20"/>
        </w:rPr>
        <w:t>egolamento generale, il 3 ottobre 2008 è stato emanato il DPR n. 196 che enuncia le regole di ammissibilità della spesa dei fondi strutturali (FSE e FESR) per il periodo 2007-2013. Per il periodo 2014-2020, nell’ambito della definizione dell’Accordo di partenariato, è stato programmato un gruppo di lavoro sull’ammissibilità della spesa che al momento non si è ancora incontrato.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252" w:rsidRDefault="003F2252">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252" w:rsidRDefault="003F2252">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252" w:rsidRDefault="003F225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CA22ED"/>
    <w:multiLevelType w:val="hybridMultilevel"/>
    <w:tmpl w:val="B4989C2A"/>
    <w:lvl w:ilvl="0" w:tplc="DC041A64">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8CF28F8"/>
    <w:multiLevelType w:val="hybridMultilevel"/>
    <w:tmpl w:val="0BBECB86"/>
    <w:lvl w:ilvl="0" w:tplc="E4D8F470">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910"/>
    <w:rsid w:val="0001096C"/>
    <w:rsid w:val="0002113B"/>
    <w:rsid w:val="0002124C"/>
    <w:rsid w:val="00021788"/>
    <w:rsid w:val="0002728A"/>
    <w:rsid w:val="00034A96"/>
    <w:rsid w:val="00046C4A"/>
    <w:rsid w:val="00060357"/>
    <w:rsid w:val="00066332"/>
    <w:rsid w:val="00066DD4"/>
    <w:rsid w:val="00095C4E"/>
    <w:rsid w:val="0009780C"/>
    <w:rsid w:val="000A64F2"/>
    <w:rsid w:val="000B06ED"/>
    <w:rsid w:val="000B30BC"/>
    <w:rsid w:val="000B5442"/>
    <w:rsid w:val="000D7EE2"/>
    <w:rsid w:val="000E01CA"/>
    <w:rsid w:val="000F7AC2"/>
    <w:rsid w:val="00134910"/>
    <w:rsid w:val="001419DE"/>
    <w:rsid w:val="001434D8"/>
    <w:rsid w:val="00154BC6"/>
    <w:rsid w:val="00170DBB"/>
    <w:rsid w:val="00182124"/>
    <w:rsid w:val="00182DF3"/>
    <w:rsid w:val="00194107"/>
    <w:rsid w:val="001B6AAC"/>
    <w:rsid w:val="001D021F"/>
    <w:rsid w:val="001D4F4D"/>
    <w:rsid w:val="001D6D61"/>
    <w:rsid w:val="001E6ECF"/>
    <w:rsid w:val="001E711D"/>
    <w:rsid w:val="001F368D"/>
    <w:rsid w:val="00205FB6"/>
    <w:rsid w:val="002352B4"/>
    <w:rsid w:val="002435A2"/>
    <w:rsid w:val="00244E5B"/>
    <w:rsid w:val="00251BDD"/>
    <w:rsid w:val="00251CE5"/>
    <w:rsid w:val="0025441E"/>
    <w:rsid w:val="00254CBA"/>
    <w:rsid w:val="00257DE9"/>
    <w:rsid w:val="0026066B"/>
    <w:rsid w:val="00261152"/>
    <w:rsid w:val="002762FF"/>
    <w:rsid w:val="0029135E"/>
    <w:rsid w:val="002B0FE2"/>
    <w:rsid w:val="002B298F"/>
    <w:rsid w:val="002B4BD8"/>
    <w:rsid w:val="002B592F"/>
    <w:rsid w:val="002C6F9B"/>
    <w:rsid w:val="002D1C00"/>
    <w:rsid w:val="002D659E"/>
    <w:rsid w:val="002E105D"/>
    <w:rsid w:val="002F1464"/>
    <w:rsid w:val="002F42B2"/>
    <w:rsid w:val="00300E55"/>
    <w:rsid w:val="00341950"/>
    <w:rsid w:val="0034754C"/>
    <w:rsid w:val="003634A8"/>
    <w:rsid w:val="00364AD8"/>
    <w:rsid w:val="003728FE"/>
    <w:rsid w:val="00384014"/>
    <w:rsid w:val="0039397B"/>
    <w:rsid w:val="003A761F"/>
    <w:rsid w:val="003B26DF"/>
    <w:rsid w:val="003C4A6C"/>
    <w:rsid w:val="003C4AA5"/>
    <w:rsid w:val="003F2252"/>
    <w:rsid w:val="004038E4"/>
    <w:rsid w:val="004040A1"/>
    <w:rsid w:val="00431A52"/>
    <w:rsid w:val="00431E7C"/>
    <w:rsid w:val="00434021"/>
    <w:rsid w:val="0044063E"/>
    <w:rsid w:val="00441BF6"/>
    <w:rsid w:val="00443057"/>
    <w:rsid w:val="00465997"/>
    <w:rsid w:val="004D2F1A"/>
    <w:rsid w:val="004D5F46"/>
    <w:rsid w:val="004D694D"/>
    <w:rsid w:val="004E2DAC"/>
    <w:rsid w:val="004F28E6"/>
    <w:rsid w:val="004F2D5E"/>
    <w:rsid w:val="005024BF"/>
    <w:rsid w:val="0050407D"/>
    <w:rsid w:val="00511D97"/>
    <w:rsid w:val="00516FCD"/>
    <w:rsid w:val="005214BF"/>
    <w:rsid w:val="005253AF"/>
    <w:rsid w:val="0052728B"/>
    <w:rsid w:val="005278D5"/>
    <w:rsid w:val="00541DF2"/>
    <w:rsid w:val="00542CBD"/>
    <w:rsid w:val="00544ECF"/>
    <w:rsid w:val="00554E8F"/>
    <w:rsid w:val="00570895"/>
    <w:rsid w:val="00572462"/>
    <w:rsid w:val="005832A2"/>
    <w:rsid w:val="00591C4C"/>
    <w:rsid w:val="00596428"/>
    <w:rsid w:val="005B4716"/>
    <w:rsid w:val="005B78B4"/>
    <w:rsid w:val="005C07FC"/>
    <w:rsid w:val="005C1366"/>
    <w:rsid w:val="005C68E8"/>
    <w:rsid w:val="005E3C0D"/>
    <w:rsid w:val="006071CB"/>
    <w:rsid w:val="00607CDF"/>
    <w:rsid w:val="00620DE1"/>
    <w:rsid w:val="00621A4E"/>
    <w:rsid w:val="00623879"/>
    <w:rsid w:val="006253E5"/>
    <w:rsid w:val="00635103"/>
    <w:rsid w:val="00642498"/>
    <w:rsid w:val="00650DD2"/>
    <w:rsid w:val="00666AD7"/>
    <w:rsid w:val="00673E8D"/>
    <w:rsid w:val="006A6998"/>
    <w:rsid w:val="006A78F4"/>
    <w:rsid w:val="006B0BA0"/>
    <w:rsid w:val="006B3BBF"/>
    <w:rsid w:val="00702560"/>
    <w:rsid w:val="00711FDA"/>
    <w:rsid w:val="007153D9"/>
    <w:rsid w:val="00717812"/>
    <w:rsid w:val="007226EF"/>
    <w:rsid w:val="00733C79"/>
    <w:rsid w:val="00735EA1"/>
    <w:rsid w:val="00752EC5"/>
    <w:rsid w:val="00761421"/>
    <w:rsid w:val="007665F2"/>
    <w:rsid w:val="00770FE4"/>
    <w:rsid w:val="007833D3"/>
    <w:rsid w:val="0079091E"/>
    <w:rsid w:val="00797056"/>
    <w:rsid w:val="007A0A81"/>
    <w:rsid w:val="007A5E9A"/>
    <w:rsid w:val="007B698F"/>
    <w:rsid w:val="007D36AC"/>
    <w:rsid w:val="007F1C70"/>
    <w:rsid w:val="007F7631"/>
    <w:rsid w:val="00806811"/>
    <w:rsid w:val="00814A9F"/>
    <w:rsid w:val="008318A6"/>
    <w:rsid w:val="00853ECE"/>
    <w:rsid w:val="008861AC"/>
    <w:rsid w:val="008875D1"/>
    <w:rsid w:val="008A6139"/>
    <w:rsid w:val="008C71F0"/>
    <w:rsid w:val="008D0D75"/>
    <w:rsid w:val="008D3DAD"/>
    <w:rsid w:val="008E409F"/>
    <w:rsid w:val="008E578C"/>
    <w:rsid w:val="008F492B"/>
    <w:rsid w:val="009049D5"/>
    <w:rsid w:val="00932717"/>
    <w:rsid w:val="00940923"/>
    <w:rsid w:val="00942767"/>
    <w:rsid w:val="00966616"/>
    <w:rsid w:val="00970F48"/>
    <w:rsid w:val="00984157"/>
    <w:rsid w:val="009A2BFB"/>
    <w:rsid w:val="009A49BE"/>
    <w:rsid w:val="009A772A"/>
    <w:rsid w:val="009B1576"/>
    <w:rsid w:val="009B377E"/>
    <w:rsid w:val="009B5DBF"/>
    <w:rsid w:val="009C0C3C"/>
    <w:rsid w:val="009D60AA"/>
    <w:rsid w:val="009E398B"/>
    <w:rsid w:val="009F3DF3"/>
    <w:rsid w:val="00A01B86"/>
    <w:rsid w:val="00A10B0E"/>
    <w:rsid w:val="00A342AB"/>
    <w:rsid w:val="00A51764"/>
    <w:rsid w:val="00A5185C"/>
    <w:rsid w:val="00A55CCC"/>
    <w:rsid w:val="00A60E99"/>
    <w:rsid w:val="00A66E5F"/>
    <w:rsid w:val="00A70DC2"/>
    <w:rsid w:val="00A7158D"/>
    <w:rsid w:val="00A75A9C"/>
    <w:rsid w:val="00A82C04"/>
    <w:rsid w:val="00A861B8"/>
    <w:rsid w:val="00A90935"/>
    <w:rsid w:val="00A9745C"/>
    <w:rsid w:val="00AB3BAD"/>
    <w:rsid w:val="00AD60C8"/>
    <w:rsid w:val="00AE15F1"/>
    <w:rsid w:val="00AF4AD6"/>
    <w:rsid w:val="00B140D7"/>
    <w:rsid w:val="00B20E46"/>
    <w:rsid w:val="00B27371"/>
    <w:rsid w:val="00B414B9"/>
    <w:rsid w:val="00B66162"/>
    <w:rsid w:val="00B673AF"/>
    <w:rsid w:val="00B74993"/>
    <w:rsid w:val="00B76C08"/>
    <w:rsid w:val="00B77BED"/>
    <w:rsid w:val="00B803C4"/>
    <w:rsid w:val="00B86791"/>
    <w:rsid w:val="00B947F0"/>
    <w:rsid w:val="00BA71DF"/>
    <w:rsid w:val="00BC026A"/>
    <w:rsid w:val="00BE3426"/>
    <w:rsid w:val="00BF496A"/>
    <w:rsid w:val="00C265CD"/>
    <w:rsid w:val="00C304E4"/>
    <w:rsid w:val="00C36260"/>
    <w:rsid w:val="00C44A07"/>
    <w:rsid w:val="00C66ACF"/>
    <w:rsid w:val="00CA2ADE"/>
    <w:rsid w:val="00CB6746"/>
    <w:rsid w:val="00CD385E"/>
    <w:rsid w:val="00CD44AF"/>
    <w:rsid w:val="00CE1E58"/>
    <w:rsid w:val="00CF4F5C"/>
    <w:rsid w:val="00CF6931"/>
    <w:rsid w:val="00D03955"/>
    <w:rsid w:val="00D1280B"/>
    <w:rsid w:val="00D35ECF"/>
    <w:rsid w:val="00D42457"/>
    <w:rsid w:val="00D6047C"/>
    <w:rsid w:val="00D71033"/>
    <w:rsid w:val="00D87062"/>
    <w:rsid w:val="00DA3E07"/>
    <w:rsid w:val="00DA74E6"/>
    <w:rsid w:val="00DC505B"/>
    <w:rsid w:val="00DD6586"/>
    <w:rsid w:val="00E06E90"/>
    <w:rsid w:val="00E07BA3"/>
    <w:rsid w:val="00E14D1C"/>
    <w:rsid w:val="00E30E32"/>
    <w:rsid w:val="00E32DB4"/>
    <w:rsid w:val="00E40E90"/>
    <w:rsid w:val="00E53A7A"/>
    <w:rsid w:val="00E71A59"/>
    <w:rsid w:val="00E747DC"/>
    <w:rsid w:val="00E76F32"/>
    <w:rsid w:val="00E92577"/>
    <w:rsid w:val="00EB303A"/>
    <w:rsid w:val="00EC5A51"/>
    <w:rsid w:val="00ED080B"/>
    <w:rsid w:val="00ED2E7A"/>
    <w:rsid w:val="00ED401E"/>
    <w:rsid w:val="00ED5AF4"/>
    <w:rsid w:val="00EF26F3"/>
    <w:rsid w:val="00F01483"/>
    <w:rsid w:val="00F02A9B"/>
    <w:rsid w:val="00F160DB"/>
    <w:rsid w:val="00F36AF8"/>
    <w:rsid w:val="00F41EC6"/>
    <w:rsid w:val="00F845A0"/>
    <w:rsid w:val="00F86F86"/>
    <w:rsid w:val="00F95391"/>
    <w:rsid w:val="00FA0AD0"/>
    <w:rsid w:val="00FA20FD"/>
    <w:rsid w:val="00FB554D"/>
    <w:rsid w:val="00FC1D51"/>
    <w:rsid w:val="00FC3A0D"/>
    <w:rsid w:val="00FC3EF4"/>
    <w:rsid w:val="00FC753E"/>
    <w:rsid w:val="00FD33B0"/>
    <w:rsid w:val="00FD7BB0"/>
    <w:rsid w:val="00FF17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835DB3D-E90D-4E38-AF20-EBD20A71A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D44AF"/>
    <w:pPr>
      <w:spacing w:after="160" w:line="259" w:lineRule="auto"/>
    </w:pPr>
    <w:rPr>
      <w:lang w:eastAsia="en-US"/>
    </w:rPr>
  </w:style>
  <w:style w:type="paragraph" w:styleId="Titolo6">
    <w:name w:val="heading 6"/>
    <w:basedOn w:val="Normale"/>
    <w:next w:val="Normale"/>
    <w:link w:val="Titolo6Carattere"/>
    <w:uiPriority w:val="99"/>
    <w:qFormat/>
    <w:locked/>
    <w:rsid w:val="002D1C00"/>
    <w:pPr>
      <w:keepNext/>
      <w:spacing w:after="0" w:line="240" w:lineRule="auto"/>
      <w:jc w:val="both"/>
      <w:outlineLvl w:val="5"/>
    </w:pPr>
    <w:rPr>
      <w:rFonts w:ascii="Times New Roman" w:eastAsia="Times New Roman" w:hAnsi="Times New Roman"/>
      <w:i/>
      <w:i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uiPriority w:val="99"/>
    <w:locked/>
    <w:rsid w:val="002D1C00"/>
    <w:rPr>
      <w:rFonts w:ascii="Times New Roman" w:hAnsi="Times New Roman" w:cs="Times New Roman"/>
      <w:i/>
      <w:iCs/>
      <w:sz w:val="24"/>
      <w:szCs w:val="24"/>
    </w:rPr>
  </w:style>
  <w:style w:type="table" w:styleId="Grigliatabella">
    <w:name w:val="Table Grid"/>
    <w:basedOn w:val="Tabellanormale"/>
    <w:uiPriority w:val="99"/>
    <w:rsid w:val="00C66AC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Normale"/>
    <w:next w:val="Normale"/>
    <w:uiPriority w:val="99"/>
    <w:rsid w:val="00733C79"/>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733C79"/>
    <w:pPr>
      <w:autoSpaceDE w:val="0"/>
      <w:autoSpaceDN w:val="0"/>
      <w:adjustRightInd w:val="0"/>
      <w:spacing w:after="0" w:line="240" w:lineRule="auto"/>
    </w:pPr>
    <w:rPr>
      <w:rFonts w:ascii="EUAlbertina" w:hAnsi="EUAlbertina"/>
      <w:sz w:val="24"/>
      <w:szCs w:val="24"/>
    </w:rPr>
  </w:style>
  <w:style w:type="paragraph" w:styleId="Sottotitolo">
    <w:name w:val="Subtitle"/>
    <w:basedOn w:val="Normale"/>
    <w:next w:val="Normale"/>
    <w:link w:val="SottotitoloCarattere"/>
    <w:uiPriority w:val="99"/>
    <w:qFormat/>
    <w:rsid w:val="00CF6931"/>
    <w:pPr>
      <w:numPr>
        <w:ilvl w:val="1"/>
      </w:numPr>
    </w:pPr>
    <w:rPr>
      <w:rFonts w:eastAsia="Times New Roman"/>
      <w:color w:val="5A5A5A"/>
      <w:spacing w:val="15"/>
    </w:rPr>
  </w:style>
  <w:style w:type="character" w:customStyle="1" w:styleId="SottotitoloCarattere">
    <w:name w:val="Sottotitolo Carattere"/>
    <w:basedOn w:val="Carpredefinitoparagrafo"/>
    <w:link w:val="Sottotitolo"/>
    <w:uiPriority w:val="99"/>
    <w:locked/>
    <w:rsid w:val="00CF6931"/>
    <w:rPr>
      <w:rFonts w:eastAsia="Times New Roman" w:cs="Times New Roman"/>
      <w:color w:val="5A5A5A"/>
      <w:spacing w:val="15"/>
    </w:rPr>
  </w:style>
  <w:style w:type="paragraph" w:styleId="Intestazione">
    <w:name w:val="header"/>
    <w:basedOn w:val="Normale"/>
    <w:link w:val="IntestazioneCarattere"/>
    <w:uiPriority w:val="99"/>
    <w:rsid w:val="00C44A0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C44A07"/>
    <w:rPr>
      <w:rFonts w:cs="Times New Roman"/>
    </w:rPr>
  </w:style>
  <w:style w:type="paragraph" w:styleId="Pidipagina">
    <w:name w:val="footer"/>
    <w:basedOn w:val="Normale"/>
    <w:link w:val="PidipaginaCarattere"/>
    <w:uiPriority w:val="99"/>
    <w:rsid w:val="00C44A0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C44A07"/>
    <w:rPr>
      <w:rFonts w:cs="Times New Roman"/>
    </w:rPr>
  </w:style>
  <w:style w:type="paragraph" w:customStyle="1" w:styleId="CM4">
    <w:name w:val="CM4"/>
    <w:basedOn w:val="Normale"/>
    <w:next w:val="Normale"/>
    <w:uiPriority w:val="99"/>
    <w:rsid w:val="004D694D"/>
    <w:pPr>
      <w:autoSpaceDE w:val="0"/>
      <w:autoSpaceDN w:val="0"/>
      <w:adjustRightInd w:val="0"/>
      <w:spacing w:after="0" w:line="240" w:lineRule="auto"/>
    </w:pPr>
    <w:rPr>
      <w:rFonts w:ascii="EUAlbertina" w:hAnsi="EUAlbertina"/>
      <w:sz w:val="24"/>
      <w:szCs w:val="24"/>
    </w:rPr>
  </w:style>
  <w:style w:type="paragraph" w:customStyle="1" w:styleId="CharCharCharCharCharChar1Char">
    <w:name w:val="Char Char Char Char Char Char1 Char"/>
    <w:basedOn w:val="Normale"/>
    <w:uiPriority w:val="99"/>
    <w:rsid w:val="004D694D"/>
    <w:pPr>
      <w:spacing w:after="0" w:line="240" w:lineRule="auto"/>
    </w:pPr>
    <w:rPr>
      <w:rFonts w:ascii="Times New Roman" w:eastAsia="Times New Roman" w:hAnsi="Times New Roman"/>
      <w:sz w:val="24"/>
      <w:szCs w:val="24"/>
      <w:lang w:val="pl-PL" w:eastAsia="pl-PL"/>
    </w:rPr>
  </w:style>
  <w:style w:type="character" w:styleId="Numeropagina">
    <w:name w:val="page number"/>
    <w:basedOn w:val="Carpredefinitoparagrafo"/>
    <w:uiPriority w:val="99"/>
    <w:rsid w:val="000E01CA"/>
    <w:rPr>
      <w:rFonts w:cs="Times New Roman"/>
    </w:rPr>
  </w:style>
  <w:style w:type="paragraph" w:styleId="Paragrafoelenco">
    <w:name w:val="List Paragraph"/>
    <w:basedOn w:val="Normale"/>
    <w:uiPriority w:val="99"/>
    <w:qFormat/>
    <w:rsid w:val="00CB6746"/>
    <w:pPr>
      <w:ind w:left="720"/>
      <w:contextualSpacing/>
    </w:pPr>
  </w:style>
  <w:style w:type="paragraph" w:styleId="Testofumetto">
    <w:name w:val="Balloon Text"/>
    <w:basedOn w:val="Normale"/>
    <w:link w:val="TestofumettoCarattere"/>
    <w:uiPriority w:val="99"/>
    <w:semiHidden/>
    <w:rsid w:val="00D4245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locked/>
    <w:rsid w:val="00D42457"/>
    <w:rPr>
      <w:rFonts w:ascii="Segoe UI" w:hAnsi="Segoe UI" w:cs="Segoe UI"/>
      <w:sz w:val="18"/>
      <w:szCs w:val="18"/>
      <w:lang w:eastAsia="en-US"/>
    </w:rPr>
  </w:style>
  <w:style w:type="paragraph" w:styleId="Testonotaapidipagina">
    <w:name w:val="footnote text"/>
    <w:basedOn w:val="Normale"/>
    <w:link w:val="TestonotaapidipaginaCarattere"/>
    <w:uiPriority w:val="99"/>
    <w:semiHidden/>
    <w:rsid w:val="001B6AA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1B6AAC"/>
    <w:rPr>
      <w:rFonts w:cs="Times New Roman"/>
      <w:sz w:val="20"/>
      <w:szCs w:val="20"/>
      <w:lang w:eastAsia="en-US"/>
    </w:rPr>
  </w:style>
  <w:style w:type="character" w:styleId="Rimandonotaapidipagina">
    <w:name w:val="footnote reference"/>
    <w:basedOn w:val="Carpredefinitoparagrafo"/>
    <w:uiPriority w:val="99"/>
    <w:semiHidden/>
    <w:rsid w:val="001B6AA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4060</Words>
  <Characters>23143</Characters>
  <Application>Microsoft Office Word</Application>
  <DocSecurity>0</DocSecurity>
  <Lines>192</Lines>
  <Paragraphs>54</Paragraphs>
  <ScaleCrop>false</ScaleCrop>
  <HeadingPairs>
    <vt:vector size="2" baseType="variant">
      <vt:variant>
        <vt:lpstr>Titolo</vt:lpstr>
      </vt:variant>
      <vt:variant>
        <vt:i4>1</vt:i4>
      </vt:variant>
    </vt:vector>
  </HeadingPairs>
  <TitlesOfParts>
    <vt:vector size="1" baseType="lpstr">
      <vt:lpstr>Tabella comparazione Regolamenti 2014-2020 / 2007-2013</vt:lpstr>
    </vt:vector>
  </TitlesOfParts>
  <Company/>
  <LinksUpToDate>false</LinksUpToDate>
  <CharactersWithSpaces>27149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Tabella comparazione Regolamenti 2014-2020 / 2007-2013</dc:title>
  <dc:subject/>
  <dc:creator>Michela Fagioli</dc:creator>
  <cp:keywords/>
  <dc:description/>
  <cp:lastModifiedBy>Rosita Tombesi</cp:lastModifiedBy>
  <cp:revision>6</cp:revision>
  <cp:lastPrinted>2014-03-17T09:46:00Z</cp:lastPrinted>
  <dcterms:created xsi:type="dcterms:W3CDTF">2014-05-16T11:09:00Z</dcterms:created>
  <dcterms:modified xsi:type="dcterms:W3CDTF">2014-05-19T14:02:00Z</dcterms:modified>
</cp:coreProperties>
</file>