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31411" w14:textId="798B7DF8" w:rsidR="0090661C" w:rsidRPr="0090661C" w:rsidRDefault="0090661C" w:rsidP="0090661C">
      <w:pPr>
        <w:spacing w:before="120" w:after="120" w:line="276" w:lineRule="auto"/>
        <w:jc w:val="center"/>
        <w:rPr>
          <w:rFonts w:asciiTheme="minorHAnsi" w:hAnsiTheme="minorHAnsi"/>
          <w:b/>
          <w:sz w:val="32"/>
          <w:szCs w:val="32"/>
        </w:rPr>
      </w:pPr>
      <w:r w:rsidRPr="0090661C">
        <w:rPr>
          <w:rFonts w:asciiTheme="minorHAnsi" w:hAnsiTheme="minorHAnsi"/>
          <w:b/>
          <w:sz w:val="32"/>
          <w:szCs w:val="32"/>
        </w:rPr>
        <w:t xml:space="preserve">Metodologia di determinazione delle opzioni di semplificazione dei costi (cd. </w:t>
      </w:r>
      <w:proofErr w:type="gramStart"/>
      <w:r w:rsidRPr="0090661C">
        <w:rPr>
          <w:rFonts w:asciiTheme="minorHAnsi" w:hAnsiTheme="minorHAnsi"/>
          <w:b/>
          <w:sz w:val="32"/>
          <w:szCs w:val="32"/>
        </w:rPr>
        <w:t>costi</w:t>
      </w:r>
      <w:proofErr w:type="gramEnd"/>
      <w:r w:rsidRPr="0090661C">
        <w:rPr>
          <w:rFonts w:asciiTheme="minorHAnsi" w:hAnsiTheme="minorHAnsi"/>
          <w:b/>
          <w:sz w:val="32"/>
          <w:szCs w:val="32"/>
        </w:rPr>
        <w:t xml:space="preserve"> standard) nell’ambito del PON IOG</w:t>
      </w:r>
    </w:p>
    <w:p w14:paraId="4A5A6968" w14:textId="518B78A7" w:rsidR="00385C63" w:rsidRPr="0090661C" w:rsidRDefault="0090661C" w:rsidP="006E2EA6">
      <w:pPr>
        <w:spacing w:before="120" w:after="120" w:line="276" w:lineRule="auto"/>
        <w:jc w:val="both"/>
        <w:rPr>
          <w:rFonts w:asciiTheme="minorHAnsi" w:hAnsiTheme="minorHAnsi"/>
          <w:sz w:val="24"/>
          <w:szCs w:val="24"/>
        </w:rPr>
      </w:pPr>
      <w:r w:rsidRPr="0090661C">
        <w:rPr>
          <w:rFonts w:asciiTheme="minorHAnsi" w:hAnsiTheme="minorHAnsi"/>
          <w:sz w:val="24"/>
          <w:szCs w:val="24"/>
        </w:rPr>
        <w:t xml:space="preserve">Intervento di </w:t>
      </w:r>
      <w:r w:rsidR="00385C63" w:rsidRPr="0090661C">
        <w:rPr>
          <w:rFonts w:asciiTheme="minorHAnsi" w:hAnsiTheme="minorHAnsi"/>
          <w:sz w:val="24"/>
          <w:szCs w:val="24"/>
        </w:rPr>
        <w:t>Giulia Platone</w:t>
      </w:r>
      <w:r w:rsidRPr="0090661C">
        <w:rPr>
          <w:rFonts w:asciiTheme="minorHAnsi" w:hAnsiTheme="minorHAnsi"/>
          <w:sz w:val="24"/>
          <w:szCs w:val="24"/>
        </w:rPr>
        <w:t xml:space="preserve">, </w:t>
      </w:r>
      <w:proofErr w:type="spellStart"/>
      <w:r w:rsidRPr="0090661C">
        <w:rPr>
          <w:rFonts w:asciiTheme="minorHAnsi" w:hAnsiTheme="minorHAnsi"/>
          <w:sz w:val="24"/>
          <w:szCs w:val="24"/>
        </w:rPr>
        <w:t>AdG</w:t>
      </w:r>
      <w:proofErr w:type="spellEnd"/>
      <w:r w:rsidRPr="0090661C">
        <w:rPr>
          <w:rFonts w:asciiTheme="minorHAnsi" w:hAnsiTheme="minorHAnsi"/>
          <w:sz w:val="24"/>
          <w:szCs w:val="24"/>
        </w:rPr>
        <w:t xml:space="preserve"> PON YEI Ministero del Lavoro e delle Politiche sociali</w:t>
      </w:r>
    </w:p>
    <w:p w14:paraId="1BE4385D" w14:textId="77777777" w:rsidR="0090661C" w:rsidRDefault="0090661C" w:rsidP="006E2EA6">
      <w:pPr>
        <w:spacing w:before="120" w:after="120" w:line="276" w:lineRule="auto"/>
        <w:jc w:val="both"/>
        <w:rPr>
          <w:rFonts w:asciiTheme="minorHAnsi" w:hAnsiTheme="minorHAnsi"/>
        </w:rPr>
      </w:pPr>
    </w:p>
    <w:p w14:paraId="3D17CA39" w14:textId="6316DF4D" w:rsidR="0048622A" w:rsidRDefault="00877B67" w:rsidP="006E2EA6">
      <w:pPr>
        <w:spacing w:before="120" w:after="120" w:line="276" w:lineRule="auto"/>
        <w:jc w:val="both"/>
        <w:rPr>
          <w:rFonts w:asciiTheme="minorHAnsi" w:hAnsiTheme="minorHAnsi"/>
        </w:rPr>
      </w:pPr>
      <w:r w:rsidRPr="0048622A">
        <w:rPr>
          <w:rFonts w:asciiTheme="minorHAnsi" w:hAnsiTheme="minorHAnsi"/>
        </w:rPr>
        <w:t>Nel definire il</w:t>
      </w:r>
      <w:r w:rsidR="00385C63" w:rsidRPr="0048622A">
        <w:rPr>
          <w:rFonts w:asciiTheme="minorHAnsi" w:hAnsiTheme="minorHAnsi"/>
        </w:rPr>
        <w:t xml:space="preserve"> </w:t>
      </w:r>
      <w:r w:rsidR="00550348" w:rsidRPr="0048622A">
        <w:rPr>
          <w:rFonts w:asciiTheme="minorHAnsi" w:hAnsiTheme="minorHAnsi"/>
        </w:rPr>
        <w:t xml:space="preserve">percorso metodologico che ha portato alla determinazione delle opzioni di semplificazione di costo nell’ambito del PON IOG, </w:t>
      </w:r>
      <w:r w:rsidRPr="0048622A">
        <w:rPr>
          <w:rFonts w:asciiTheme="minorHAnsi" w:hAnsiTheme="minorHAnsi"/>
        </w:rPr>
        <w:t xml:space="preserve">è stata fondamentale l’esperienza della Programmazione 2007-2013, durante la quale il </w:t>
      </w:r>
      <w:r w:rsidR="00385C63" w:rsidRPr="0048622A">
        <w:rPr>
          <w:rFonts w:asciiTheme="minorHAnsi" w:hAnsiTheme="minorHAnsi"/>
        </w:rPr>
        <w:t>Ministero</w:t>
      </w:r>
      <w:r w:rsidR="00550348" w:rsidRPr="0048622A">
        <w:rPr>
          <w:rFonts w:asciiTheme="minorHAnsi" w:hAnsiTheme="minorHAnsi"/>
        </w:rPr>
        <w:t xml:space="preserve"> del Lavoro</w:t>
      </w:r>
      <w:r w:rsidR="00385C63" w:rsidRPr="0048622A">
        <w:rPr>
          <w:rFonts w:asciiTheme="minorHAnsi" w:hAnsiTheme="minorHAnsi"/>
        </w:rPr>
        <w:t xml:space="preserve"> ha </w:t>
      </w:r>
      <w:r w:rsidRPr="0048622A">
        <w:rPr>
          <w:rFonts w:asciiTheme="minorHAnsi" w:hAnsiTheme="minorHAnsi"/>
        </w:rPr>
        <w:t>utilizzato</w:t>
      </w:r>
      <w:r w:rsidR="00385C63" w:rsidRPr="0048622A">
        <w:rPr>
          <w:rFonts w:asciiTheme="minorHAnsi" w:hAnsiTheme="minorHAnsi"/>
        </w:rPr>
        <w:t xml:space="preserve"> i costi standard </w:t>
      </w:r>
      <w:r w:rsidR="00004C86" w:rsidRPr="0048622A">
        <w:rPr>
          <w:rFonts w:asciiTheme="minorHAnsi" w:hAnsiTheme="minorHAnsi"/>
        </w:rPr>
        <w:t xml:space="preserve">con </w:t>
      </w:r>
      <w:r w:rsidR="00550348" w:rsidRPr="0048622A">
        <w:rPr>
          <w:rFonts w:asciiTheme="minorHAnsi" w:hAnsiTheme="minorHAnsi"/>
        </w:rPr>
        <w:t>un significativo</w:t>
      </w:r>
      <w:r w:rsidR="00385C63" w:rsidRPr="0048622A">
        <w:rPr>
          <w:rFonts w:asciiTheme="minorHAnsi" w:hAnsiTheme="minorHAnsi"/>
        </w:rPr>
        <w:t xml:space="preserve"> impatto sulla </w:t>
      </w:r>
      <w:proofErr w:type="spellStart"/>
      <w:r w:rsidR="00385C63" w:rsidRPr="00DD76B5">
        <w:rPr>
          <w:rFonts w:asciiTheme="minorHAnsi" w:hAnsiTheme="minorHAnsi"/>
          <w:i/>
        </w:rPr>
        <w:t>gove</w:t>
      </w:r>
      <w:r w:rsidR="00004C86" w:rsidRPr="00DD76B5">
        <w:rPr>
          <w:rFonts w:asciiTheme="minorHAnsi" w:hAnsiTheme="minorHAnsi"/>
          <w:i/>
        </w:rPr>
        <w:t>rnance</w:t>
      </w:r>
      <w:proofErr w:type="spellEnd"/>
      <w:r w:rsidR="00004C86" w:rsidRPr="0048622A">
        <w:rPr>
          <w:rFonts w:asciiTheme="minorHAnsi" w:hAnsiTheme="minorHAnsi"/>
        </w:rPr>
        <w:t xml:space="preserve"> dei programmi operativi</w:t>
      </w:r>
      <w:r w:rsidR="0039613C" w:rsidRPr="0048622A">
        <w:rPr>
          <w:rFonts w:asciiTheme="minorHAnsi" w:hAnsiTheme="minorHAnsi"/>
        </w:rPr>
        <w:t xml:space="preserve">. </w:t>
      </w:r>
    </w:p>
    <w:p w14:paraId="098A9D04" w14:textId="520ED8C3" w:rsidR="0039613C" w:rsidRPr="00D8079F" w:rsidRDefault="0048622A" w:rsidP="006E2EA6">
      <w:pPr>
        <w:spacing w:before="120" w:after="120" w:line="276" w:lineRule="auto"/>
        <w:jc w:val="both"/>
        <w:rPr>
          <w:rFonts w:asciiTheme="minorHAnsi" w:hAnsiTheme="minorHAnsi" w:cs="Calibri"/>
        </w:rPr>
      </w:pPr>
      <w:r w:rsidRPr="0048622A">
        <w:rPr>
          <w:rFonts w:asciiTheme="minorHAnsi" w:hAnsiTheme="minorHAnsi" w:cs="Calibri"/>
        </w:rPr>
        <w:t>La scelta di individuare per ciascuno dei servizi finanziabili nell’ambito del Programma Operativo Iniziativa Occupazione Giovani un costo standard condiviso, applicabile su tutto il territorio nazionale, risponde all’esigenza di garantire un’azione uniforme e tempestiva sull’intero territorio nazionale, nel quale il Ministero del Lavoro e delle Politiche Sociali assume il ruolo di coordinatore degli attori coinvolti in grado di affrontare in maniera adeguata le differenze che si individuano sul territorio italiano nei settori dei servizi per il lavoro e della formazione, in termini di azioni messe in campo e, dunque, di costi applicati.</w:t>
      </w:r>
    </w:p>
    <w:p w14:paraId="5E01D6D5" w14:textId="69B1EEF2" w:rsidR="00657195" w:rsidRPr="0048622A" w:rsidRDefault="00610C34" w:rsidP="00DD76B5">
      <w:pPr>
        <w:pStyle w:val="Default"/>
        <w:spacing w:before="120" w:after="120" w:line="276" w:lineRule="auto"/>
        <w:jc w:val="both"/>
        <w:rPr>
          <w:rFonts w:asciiTheme="minorHAnsi" w:hAnsiTheme="minorHAnsi"/>
          <w:sz w:val="22"/>
          <w:szCs w:val="22"/>
        </w:rPr>
      </w:pPr>
      <w:r w:rsidRPr="0048622A">
        <w:rPr>
          <w:rFonts w:asciiTheme="minorHAnsi" w:hAnsiTheme="minorHAnsi"/>
          <w:sz w:val="22"/>
          <w:szCs w:val="22"/>
        </w:rPr>
        <w:t xml:space="preserve">Forti della convinzione che una </w:t>
      </w:r>
      <w:r w:rsidR="00385C63" w:rsidRPr="0048622A">
        <w:rPr>
          <w:rFonts w:asciiTheme="minorHAnsi" w:hAnsiTheme="minorHAnsi"/>
          <w:sz w:val="22"/>
          <w:szCs w:val="22"/>
        </w:rPr>
        <w:t>migliore effettività sulla qualità e una riduzione dei tempi di controllo di spesa e dell</w:t>
      </w:r>
      <w:r w:rsidRPr="0048622A">
        <w:rPr>
          <w:rFonts w:asciiTheme="minorHAnsi" w:hAnsiTheme="minorHAnsi"/>
          <w:sz w:val="22"/>
          <w:szCs w:val="22"/>
        </w:rPr>
        <w:t xml:space="preserve">a riduzione del tasso di errore, </w:t>
      </w:r>
      <w:r w:rsidR="0048622A">
        <w:rPr>
          <w:rFonts w:asciiTheme="minorHAnsi" w:hAnsiTheme="minorHAnsi"/>
          <w:sz w:val="22"/>
          <w:szCs w:val="22"/>
        </w:rPr>
        <w:t>è stata avviata la fase di definizione</w:t>
      </w:r>
      <w:r w:rsidR="00A23AC8" w:rsidRPr="0048622A">
        <w:rPr>
          <w:rFonts w:asciiTheme="minorHAnsi" w:hAnsiTheme="minorHAnsi"/>
          <w:sz w:val="22"/>
          <w:szCs w:val="22"/>
        </w:rPr>
        <w:t xml:space="preserve"> dei costi semplificati</w:t>
      </w:r>
      <w:r w:rsidR="00385C63" w:rsidRPr="0048622A">
        <w:rPr>
          <w:rFonts w:asciiTheme="minorHAnsi" w:hAnsiTheme="minorHAnsi"/>
          <w:sz w:val="22"/>
          <w:szCs w:val="22"/>
        </w:rPr>
        <w:t xml:space="preserve"> e</w:t>
      </w:r>
      <w:r w:rsidR="00A23AC8" w:rsidRPr="0048622A">
        <w:rPr>
          <w:rFonts w:asciiTheme="minorHAnsi" w:hAnsiTheme="minorHAnsi"/>
          <w:sz w:val="22"/>
          <w:szCs w:val="22"/>
        </w:rPr>
        <w:t xml:space="preserve"> </w:t>
      </w:r>
      <w:r w:rsidR="0048622A">
        <w:rPr>
          <w:rFonts w:asciiTheme="minorHAnsi" w:hAnsiTheme="minorHAnsi"/>
          <w:sz w:val="22"/>
          <w:szCs w:val="22"/>
        </w:rPr>
        <w:t xml:space="preserve">i relativi </w:t>
      </w:r>
      <w:r w:rsidR="0048622A" w:rsidRPr="002C4272">
        <w:rPr>
          <w:rFonts w:asciiTheme="minorHAnsi" w:hAnsiTheme="minorHAnsi"/>
          <w:sz w:val="22"/>
          <w:szCs w:val="22"/>
        </w:rPr>
        <w:t>tavoli di concertazione costituiti in fase di programmazione operativa del Programma</w:t>
      </w:r>
      <w:r w:rsidR="00385C63" w:rsidRPr="0048622A">
        <w:rPr>
          <w:rFonts w:asciiTheme="minorHAnsi" w:hAnsiTheme="minorHAnsi"/>
          <w:sz w:val="22"/>
          <w:szCs w:val="22"/>
        </w:rPr>
        <w:t xml:space="preserve">, individuando le tipologie di settori principali riconducibili a due settori prevalenti, che sono quelli per i servizi al lavoro da una parte e della formazione succedente ad una fase preliminare di </w:t>
      </w:r>
      <w:r w:rsidR="00385C63" w:rsidRPr="00D8079F">
        <w:rPr>
          <w:rFonts w:asciiTheme="minorHAnsi" w:hAnsiTheme="minorHAnsi"/>
          <w:i/>
          <w:sz w:val="22"/>
          <w:szCs w:val="22"/>
        </w:rPr>
        <w:t>benchmark</w:t>
      </w:r>
      <w:r w:rsidR="00385C63" w:rsidRPr="0048622A">
        <w:rPr>
          <w:rFonts w:asciiTheme="minorHAnsi" w:hAnsiTheme="minorHAnsi"/>
          <w:sz w:val="22"/>
          <w:szCs w:val="22"/>
        </w:rPr>
        <w:t xml:space="preserve">. Molto brevemente vorrei dirvi il percorso metodologico che ha portato alla definizione delle unità di costo standard, a partire dall’identificazione dei parametri di riferimento </w:t>
      </w:r>
      <w:r w:rsidR="002C4272">
        <w:rPr>
          <w:rFonts w:asciiTheme="minorHAnsi" w:hAnsiTheme="minorHAnsi"/>
          <w:sz w:val="22"/>
          <w:szCs w:val="22"/>
        </w:rPr>
        <w:t>dei costi semplificati in uso nelle</w:t>
      </w:r>
      <w:r w:rsidR="00385C63" w:rsidRPr="0048622A">
        <w:rPr>
          <w:rFonts w:asciiTheme="minorHAnsi" w:hAnsiTheme="minorHAnsi"/>
          <w:sz w:val="22"/>
          <w:szCs w:val="22"/>
        </w:rPr>
        <w:t xml:space="preserve"> Regioni. L’individuazione delle Regioni si è basata sulla disponibilità delle metodologie di rendicontazione </w:t>
      </w:r>
      <w:r w:rsidR="00657195" w:rsidRPr="0048622A">
        <w:rPr>
          <w:rFonts w:asciiTheme="minorHAnsi" w:hAnsiTheme="minorHAnsi"/>
          <w:sz w:val="22"/>
          <w:szCs w:val="22"/>
        </w:rPr>
        <w:t xml:space="preserve">a costi semplificati utilizzate durante la Programmazione </w:t>
      </w:r>
      <w:r w:rsidR="00D8079F">
        <w:rPr>
          <w:rFonts w:asciiTheme="minorHAnsi" w:hAnsiTheme="minorHAnsi"/>
          <w:sz w:val="22"/>
          <w:szCs w:val="22"/>
        </w:rPr>
        <w:t>2007-2013</w:t>
      </w:r>
      <w:r w:rsidR="002C4272">
        <w:rPr>
          <w:rFonts w:asciiTheme="minorHAnsi" w:hAnsiTheme="minorHAnsi"/>
          <w:sz w:val="22"/>
          <w:szCs w:val="22"/>
        </w:rPr>
        <w:t xml:space="preserve">, a loro volta basate </w:t>
      </w:r>
      <w:r w:rsidR="00385C63" w:rsidRPr="0048622A">
        <w:rPr>
          <w:rFonts w:asciiTheme="minorHAnsi" w:hAnsiTheme="minorHAnsi"/>
          <w:sz w:val="22"/>
          <w:szCs w:val="22"/>
        </w:rPr>
        <w:t>su analisi statistiche già valutate e validate positivamente dai controlli ef</w:t>
      </w:r>
      <w:r w:rsidR="002C4272">
        <w:rPr>
          <w:rFonts w:asciiTheme="minorHAnsi" w:hAnsiTheme="minorHAnsi"/>
          <w:sz w:val="22"/>
          <w:szCs w:val="22"/>
        </w:rPr>
        <w:t xml:space="preserve">fettuati dall’autorità di Audit. </w:t>
      </w:r>
      <w:r w:rsidR="00D8079F">
        <w:rPr>
          <w:rFonts w:asciiTheme="minorHAnsi" w:hAnsiTheme="minorHAnsi"/>
          <w:sz w:val="22"/>
          <w:szCs w:val="22"/>
        </w:rPr>
        <w:t>I</w:t>
      </w:r>
      <w:r w:rsidR="00D8079F" w:rsidRPr="0048622A">
        <w:rPr>
          <w:rFonts w:asciiTheme="minorHAnsi" w:hAnsiTheme="minorHAnsi"/>
          <w:sz w:val="22"/>
          <w:szCs w:val="22"/>
        </w:rPr>
        <w:t>n particolare</w:t>
      </w:r>
      <w:r w:rsidR="00D8079F">
        <w:rPr>
          <w:rFonts w:asciiTheme="minorHAnsi" w:hAnsiTheme="minorHAnsi"/>
          <w:sz w:val="22"/>
          <w:szCs w:val="22"/>
        </w:rPr>
        <w:t>,</w:t>
      </w:r>
      <w:r w:rsidR="00D8079F" w:rsidRPr="0048622A">
        <w:rPr>
          <w:rFonts w:asciiTheme="minorHAnsi" w:hAnsiTheme="minorHAnsi"/>
          <w:sz w:val="22"/>
          <w:szCs w:val="22"/>
        </w:rPr>
        <w:t xml:space="preserve"> </w:t>
      </w:r>
      <w:r w:rsidR="00D8079F">
        <w:rPr>
          <w:rFonts w:asciiTheme="minorHAnsi" w:hAnsiTheme="minorHAnsi"/>
          <w:sz w:val="22"/>
          <w:szCs w:val="22"/>
        </w:rPr>
        <w:t>s</w:t>
      </w:r>
      <w:r w:rsidR="002C4272">
        <w:rPr>
          <w:rFonts w:asciiTheme="minorHAnsi" w:hAnsiTheme="minorHAnsi"/>
          <w:sz w:val="22"/>
          <w:szCs w:val="22"/>
        </w:rPr>
        <w:t>on</w:t>
      </w:r>
      <w:r w:rsidR="00D8079F">
        <w:rPr>
          <w:rFonts w:asciiTheme="minorHAnsi" w:hAnsiTheme="minorHAnsi"/>
          <w:sz w:val="22"/>
          <w:szCs w:val="22"/>
        </w:rPr>
        <w:t>o stati presi in considerazione</w:t>
      </w:r>
      <w:r w:rsidR="00385C63" w:rsidRPr="0048622A">
        <w:rPr>
          <w:rFonts w:asciiTheme="minorHAnsi" w:hAnsiTheme="minorHAnsi"/>
          <w:sz w:val="22"/>
          <w:szCs w:val="22"/>
        </w:rPr>
        <w:t xml:space="preserve"> i percorsi che fossero coerenti con </w:t>
      </w:r>
      <w:r w:rsidR="00D8079F">
        <w:rPr>
          <w:rFonts w:asciiTheme="minorHAnsi" w:hAnsiTheme="minorHAnsi"/>
          <w:sz w:val="22"/>
          <w:szCs w:val="22"/>
        </w:rPr>
        <w:t>le schede di misura previste</w:t>
      </w:r>
      <w:r w:rsidR="00385C63" w:rsidRPr="0048622A">
        <w:rPr>
          <w:rFonts w:asciiTheme="minorHAnsi" w:hAnsiTheme="minorHAnsi"/>
          <w:sz w:val="22"/>
          <w:szCs w:val="22"/>
        </w:rPr>
        <w:t xml:space="preserve"> dal PON YEI. </w:t>
      </w:r>
    </w:p>
    <w:p w14:paraId="079B95BB" w14:textId="5EB9F9F8" w:rsidR="00657195" w:rsidRPr="0048622A" w:rsidRDefault="00657195" w:rsidP="00D8079F">
      <w:pPr>
        <w:pStyle w:val="Default"/>
        <w:spacing w:before="120" w:after="120" w:line="276" w:lineRule="auto"/>
        <w:jc w:val="both"/>
        <w:rPr>
          <w:rFonts w:asciiTheme="minorHAnsi" w:hAnsiTheme="minorHAnsi"/>
          <w:sz w:val="22"/>
          <w:szCs w:val="22"/>
        </w:rPr>
      </w:pPr>
      <w:r w:rsidRPr="0048622A">
        <w:rPr>
          <w:rFonts w:asciiTheme="minorHAnsi" w:hAnsiTheme="minorHAnsi"/>
          <w:sz w:val="22"/>
          <w:szCs w:val="22"/>
        </w:rPr>
        <w:t>Una volta determinato un valore univoco di UCS per ognuna delle Regioni incluse nel campione di analisi, si è identificato un primo parametro di riferimento su scala complessiva mediante la</w:t>
      </w:r>
      <w:r w:rsidRPr="00D8079F">
        <w:rPr>
          <w:rFonts w:asciiTheme="minorHAnsi" w:hAnsiTheme="minorHAnsi"/>
          <w:sz w:val="22"/>
          <w:szCs w:val="22"/>
        </w:rPr>
        <w:t xml:space="preserve"> </w:t>
      </w:r>
      <w:r w:rsidRPr="00D8079F">
        <w:rPr>
          <w:rFonts w:asciiTheme="minorHAnsi" w:hAnsiTheme="minorHAnsi"/>
          <w:i/>
          <w:iCs/>
          <w:sz w:val="22"/>
          <w:szCs w:val="22"/>
        </w:rPr>
        <w:t xml:space="preserve">media aritmetica </w:t>
      </w:r>
      <w:r w:rsidRPr="00D8079F">
        <w:rPr>
          <w:rFonts w:asciiTheme="minorHAnsi" w:hAnsiTheme="minorHAnsi"/>
          <w:sz w:val="22"/>
          <w:szCs w:val="22"/>
        </w:rPr>
        <w:t>dei</w:t>
      </w:r>
      <w:r w:rsidRPr="0048622A">
        <w:rPr>
          <w:rFonts w:asciiTheme="minorHAnsi" w:hAnsiTheme="minorHAnsi"/>
          <w:sz w:val="22"/>
          <w:szCs w:val="22"/>
        </w:rPr>
        <w:t xml:space="preserve"> valori rilevati. </w:t>
      </w:r>
      <w:r w:rsidR="00385C63" w:rsidRPr="0048622A">
        <w:rPr>
          <w:rFonts w:asciiTheme="minorHAnsi" w:hAnsiTheme="minorHAnsi"/>
          <w:sz w:val="22"/>
          <w:szCs w:val="22"/>
        </w:rPr>
        <w:t xml:space="preserve"> </w:t>
      </w:r>
      <w:r w:rsidRPr="0048622A">
        <w:rPr>
          <w:rFonts w:asciiTheme="minorHAnsi" w:hAnsiTheme="minorHAnsi"/>
          <w:sz w:val="22"/>
          <w:szCs w:val="22"/>
        </w:rPr>
        <w:t xml:space="preserve">Il dato così determinato è stato verificato alla luce della variabilità dei valori rilevati. Il riferimento in tal senso è stato offerto dal calcolo della deviazione standard (o scarto quadratico medio), che misura la dispersione dei dati intorno al valore atteso. </w:t>
      </w:r>
    </w:p>
    <w:p w14:paraId="76CBCD12" w14:textId="77777777" w:rsidR="00657195" w:rsidRPr="0048622A" w:rsidRDefault="00657195" w:rsidP="00D8079F">
      <w:pPr>
        <w:pStyle w:val="Default"/>
        <w:spacing w:before="120" w:after="120" w:line="276" w:lineRule="auto"/>
        <w:jc w:val="both"/>
        <w:rPr>
          <w:rFonts w:asciiTheme="minorHAnsi" w:hAnsiTheme="minorHAnsi"/>
          <w:sz w:val="22"/>
          <w:szCs w:val="22"/>
        </w:rPr>
      </w:pPr>
      <w:r w:rsidRPr="0048622A">
        <w:rPr>
          <w:rFonts w:asciiTheme="minorHAnsi" w:hAnsiTheme="minorHAnsi"/>
          <w:sz w:val="22"/>
          <w:szCs w:val="22"/>
        </w:rPr>
        <w:t xml:space="preserve">Data la rilevanza, in termini di diffusione territoriale dell’intervento in esame, si è proceduto ad integrare i risultati dell’analisi con una ulteriore verifica, attraverso la determinazione di una media ponderata. </w:t>
      </w:r>
    </w:p>
    <w:p w14:paraId="038716D7" w14:textId="0B6B927E" w:rsidR="00385C63" w:rsidRPr="0048622A" w:rsidRDefault="00657195" w:rsidP="006E2EA6">
      <w:pPr>
        <w:spacing w:before="120" w:after="120" w:line="276" w:lineRule="auto"/>
        <w:jc w:val="both"/>
        <w:rPr>
          <w:rFonts w:asciiTheme="minorHAnsi" w:hAnsiTheme="minorHAnsi"/>
        </w:rPr>
      </w:pPr>
      <w:r w:rsidRPr="0048622A">
        <w:rPr>
          <w:rFonts w:asciiTheme="minorHAnsi" w:hAnsiTheme="minorHAnsi"/>
        </w:rPr>
        <w:t>In tal senso si è presa in considerazione, quale fattore di ponderazione dei parametri rilevati nelle diverse Regioni comprese nel sistema di riferimento, il volume delle risorse attribuite ad ognuna nell’ambito della programmazione nazionale del PON IOG</w:t>
      </w:r>
      <w:r w:rsidR="00385C63" w:rsidRPr="0048622A">
        <w:rPr>
          <w:rFonts w:asciiTheme="minorHAnsi" w:hAnsiTheme="minorHAnsi"/>
        </w:rPr>
        <w:t xml:space="preserve"> che, a sua volta, tiene conto di criteri solidi basati sui dati dei disoccupati residenti in ciascuna regione e la differenziazione dei costi di servizi. </w:t>
      </w:r>
    </w:p>
    <w:p w14:paraId="7083EDC6" w14:textId="7B37737B" w:rsidR="009F3CCB" w:rsidRPr="00D8079F" w:rsidRDefault="009F3CCB" w:rsidP="006E2EA6">
      <w:pPr>
        <w:spacing w:before="120" w:after="120" w:line="276" w:lineRule="auto"/>
        <w:jc w:val="both"/>
        <w:rPr>
          <w:rFonts w:asciiTheme="minorHAnsi" w:hAnsiTheme="minorHAnsi"/>
        </w:rPr>
      </w:pPr>
      <w:r w:rsidRPr="00D8079F">
        <w:rPr>
          <w:rFonts w:asciiTheme="minorHAnsi" w:hAnsiTheme="minorHAnsi"/>
        </w:rPr>
        <w:t>Per quanto riguarda i servizi per il lavoro sono stati definiti i costi per le seguenti misure</w:t>
      </w:r>
      <w:r w:rsidR="00E77D08">
        <w:rPr>
          <w:rFonts w:asciiTheme="minorHAnsi" w:hAnsiTheme="minorHAnsi"/>
        </w:rPr>
        <w:t>:</w:t>
      </w:r>
    </w:p>
    <w:p w14:paraId="1045C390" w14:textId="166140B4" w:rsidR="009F3CCB" w:rsidRPr="00D8079F" w:rsidRDefault="009F3CCB" w:rsidP="00D8079F">
      <w:pPr>
        <w:pStyle w:val="Paragrafoelenco"/>
        <w:numPr>
          <w:ilvl w:val="0"/>
          <w:numId w:val="2"/>
        </w:numPr>
        <w:spacing w:before="120" w:after="120" w:line="276" w:lineRule="auto"/>
        <w:jc w:val="both"/>
        <w:rPr>
          <w:rFonts w:asciiTheme="minorHAnsi" w:hAnsiTheme="minorHAnsi"/>
          <w:sz w:val="22"/>
          <w:szCs w:val="22"/>
        </w:rPr>
      </w:pPr>
      <w:r w:rsidRPr="00D8079F">
        <w:rPr>
          <w:rFonts w:asciiTheme="minorHAnsi" w:eastAsia="Calibri" w:hAnsiTheme="minorHAnsi"/>
          <w:sz w:val="22"/>
          <w:szCs w:val="22"/>
        </w:rPr>
        <w:t xml:space="preserve">Accesso alla garanzia (Presa in carico, colloquio individuale e </w:t>
      </w:r>
      <w:proofErr w:type="spellStart"/>
      <w:r w:rsidRPr="00E77D08">
        <w:rPr>
          <w:rFonts w:asciiTheme="minorHAnsi" w:eastAsia="Calibri" w:hAnsiTheme="minorHAnsi"/>
          <w:i/>
          <w:sz w:val="22"/>
          <w:szCs w:val="22"/>
        </w:rPr>
        <w:t>profiling</w:t>
      </w:r>
      <w:proofErr w:type="spellEnd"/>
      <w:r w:rsidRPr="00D8079F">
        <w:rPr>
          <w:rFonts w:asciiTheme="minorHAnsi" w:eastAsia="Calibri" w:hAnsiTheme="minorHAnsi"/>
          <w:sz w:val="22"/>
          <w:szCs w:val="22"/>
        </w:rPr>
        <w:t>, consulenza orientativa)</w:t>
      </w:r>
      <w:r w:rsidR="00D8079F">
        <w:rPr>
          <w:rFonts w:asciiTheme="minorHAnsi" w:eastAsia="Calibri" w:hAnsiTheme="minorHAnsi"/>
          <w:sz w:val="22"/>
          <w:szCs w:val="22"/>
        </w:rPr>
        <w:t>;</w:t>
      </w:r>
    </w:p>
    <w:p w14:paraId="5F6C1DE3" w14:textId="1B6FEAD6" w:rsidR="009F3CCB" w:rsidRPr="00D8079F" w:rsidRDefault="009F3CCB" w:rsidP="00D8079F">
      <w:pPr>
        <w:pStyle w:val="Paragrafoelenco"/>
        <w:numPr>
          <w:ilvl w:val="0"/>
          <w:numId w:val="2"/>
        </w:numPr>
        <w:spacing w:before="120" w:after="120" w:line="276" w:lineRule="auto"/>
        <w:jc w:val="both"/>
        <w:rPr>
          <w:rFonts w:asciiTheme="minorHAnsi" w:hAnsiTheme="minorHAnsi"/>
          <w:sz w:val="22"/>
          <w:szCs w:val="22"/>
        </w:rPr>
      </w:pPr>
      <w:r w:rsidRPr="00D8079F">
        <w:rPr>
          <w:rFonts w:asciiTheme="minorHAnsi" w:hAnsiTheme="minorHAnsi"/>
          <w:sz w:val="22"/>
          <w:szCs w:val="22"/>
        </w:rPr>
        <w:t>O</w:t>
      </w:r>
      <w:r w:rsidRPr="00D8079F">
        <w:rPr>
          <w:rFonts w:asciiTheme="minorHAnsi" w:eastAsia="Calibri" w:hAnsiTheme="minorHAnsi"/>
          <w:sz w:val="22"/>
          <w:szCs w:val="22"/>
        </w:rPr>
        <w:t>rientamento specialistico o di II livello</w:t>
      </w:r>
      <w:r w:rsidR="00D8079F">
        <w:rPr>
          <w:rFonts w:asciiTheme="minorHAnsi" w:eastAsia="Calibri" w:hAnsiTheme="minorHAnsi"/>
          <w:sz w:val="22"/>
          <w:szCs w:val="22"/>
        </w:rPr>
        <w:t>;</w:t>
      </w:r>
    </w:p>
    <w:p w14:paraId="51C37E9B" w14:textId="2F90C1E6" w:rsidR="009F3CCB" w:rsidRPr="00D8079F" w:rsidRDefault="009F3CCB" w:rsidP="00D8079F">
      <w:pPr>
        <w:pStyle w:val="Paragrafoelenco"/>
        <w:numPr>
          <w:ilvl w:val="0"/>
          <w:numId w:val="2"/>
        </w:numPr>
        <w:spacing w:before="120" w:after="120" w:line="276" w:lineRule="auto"/>
        <w:jc w:val="both"/>
        <w:rPr>
          <w:rFonts w:asciiTheme="minorHAnsi" w:eastAsia="Calibri" w:hAnsiTheme="minorHAnsi"/>
          <w:sz w:val="22"/>
          <w:szCs w:val="22"/>
        </w:rPr>
      </w:pPr>
      <w:r w:rsidRPr="00D8079F">
        <w:rPr>
          <w:rFonts w:asciiTheme="minorHAnsi" w:eastAsia="Calibri" w:hAnsiTheme="minorHAnsi"/>
          <w:sz w:val="22"/>
          <w:szCs w:val="22"/>
        </w:rPr>
        <w:t>Accompagnamento al lavoro</w:t>
      </w:r>
      <w:r w:rsidR="00D8079F">
        <w:rPr>
          <w:rFonts w:asciiTheme="minorHAnsi" w:eastAsia="Calibri" w:hAnsiTheme="minorHAnsi"/>
          <w:sz w:val="22"/>
          <w:szCs w:val="22"/>
        </w:rPr>
        <w:t>;</w:t>
      </w:r>
    </w:p>
    <w:p w14:paraId="53DCE4C9" w14:textId="36D5F19B" w:rsidR="0071156D" w:rsidRPr="00D8079F" w:rsidRDefault="009F3CCB" w:rsidP="00D8079F">
      <w:pPr>
        <w:pStyle w:val="Paragrafoelenco"/>
        <w:numPr>
          <w:ilvl w:val="0"/>
          <w:numId w:val="2"/>
        </w:numPr>
        <w:spacing w:before="120" w:after="120" w:line="276" w:lineRule="auto"/>
        <w:jc w:val="both"/>
        <w:rPr>
          <w:rFonts w:asciiTheme="minorHAnsi" w:hAnsiTheme="minorHAnsi"/>
          <w:sz w:val="22"/>
          <w:szCs w:val="22"/>
        </w:rPr>
      </w:pPr>
      <w:r w:rsidRPr="00D8079F">
        <w:rPr>
          <w:rFonts w:asciiTheme="minorHAnsi" w:eastAsia="Calibri" w:hAnsiTheme="minorHAnsi"/>
          <w:sz w:val="22"/>
          <w:szCs w:val="22"/>
        </w:rPr>
        <w:lastRenderedPageBreak/>
        <w:t xml:space="preserve">Tirocinio extra-curriculare, </w:t>
      </w:r>
      <w:r w:rsidRPr="00D8079F">
        <w:rPr>
          <w:rFonts w:asciiTheme="minorHAnsi" w:hAnsiTheme="minorHAnsi"/>
          <w:sz w:val="22"/>
          <w:szCs w:val="22"/>
        </w:rPr>
        <w:t>anche in mobilità geografica (che prevede sia la remunerazione per i soggetti promotori del tirocinio che le indennità di tirocinio per i giovani e le eventuali spese di viaggio, vitto e alloggio</w:t>
      </w:r>
      <w:r w:rsidRPr="00D8079F">
        <w:rPr>
          <w:rFonts w:asciiTheme="minorHAnsi" w:eastAsia="Calibri" w:hAnsiTheme="minorHAnsi"/>
          <w:sz w:val="22"/>
          <w:szCs w:val="22"/>
        </w:rPr>
        <w:t>)</w:t>
      </w:r>
      <w:r w:rsidR="00D8079F">
        <w:rPr>
          <w:rFonts w:asciiTheme="minorHAnsi" w:hAnsiTheme="minorHAnsi"/>
          <w:sz w:val="22"/>
          <w:szCs w:val="22"/>
        </w:rPr>
        <w:t>;</w:t>
      </w:r>
    </w:p>
    <w:p w14:paraId="66B29F2F" w14:textId="2212C038" w:rsidR="009F3CCB" w:rsidRPr="00D8079F" w:rsidRDefault="009F3CCB" w:rsidP="00D8079F">
      <w:pPr>
        <w:pStyle w:val="Paragrafoelenco"/>
        <w:numPr>
          <w:ilvl w:val="0"/>
          <w:numId w:val="2"/>
        </w:numPr>
        <w:spacing w:before="120" w:after="120" w:line="276" w:lineRule="auto"/>
        <w:jc w:val="both"/>
        <w:rPr>
          <w:rFonts w:asciiTheme="minorHAnsi" w:hAnsiTheme="minorHAnsi"/>
          <w:sz w:val="22"/>
          <w:szCs w:val="22"/>
        </w:rPr>
      </w:pPr>
      <w:r w:rsidRPr="00D8079F">
        <w:rPr>
          <w:rFonts w:asciiTheme="minorHAnsi" w:hAnsiTheme="minorHAnsi"/>
          <w:sz w:val="22"/>
          <w:szCs w:val="22"/>
        </w:rPr>
        <w:t>Sostegno all’auto-impiego e all’auto imprenditorialità</w:t>
      </w:r>
      <w:r w:rsidR="0071156D" w:rsidRPr="00D8079F">
        <w:rPr>
          <w:rFonts w:asciiTheme="minorHAnsi" w:hAnsiTheme="minorHAnsi"/>
          <w:sz w:val="22"/>
          <w:szCs w:val="22"/>
        </w:rPr>
        <w:t xml:space="preserve"> - attività di accompagnamento all’avvio di impresa e sup</w:t>
      </w:r>
      <w:r w:rsidR="00D8079F">
        <w:rPr>
          <w:rFonts w:asciiTheme="minorHAnsi" w:hAnsiTheme="minorHAnsi"/>
          <w:sz w:val="22"/>
          <w:szCs w:val="22"/>
        </w:rPr>
        <w:t>porto allo start up di impresa;</w:t>
      </w:r>
    </w:p>
    <w:p w14:paraId="6B5CF32D" w14:textId="48E39312" w:rsidR="00D8079F" w:rsidRPr="00D8079F" w:rsidRDefault="00D8079F" w:rsidP="00D8079F">
      <w:pPr>
        <w:spacing w:before="120" w:after="120" w:line="276" w:lineRule="auto"/>
        <w:jc w:val="both"/>
        <w:rPr>
          <w:rFonts w:asciiTheme="minorHAnsi" w:hAnsiTheme="minorHAnsi"/>
        </w:rPr>
      </w:pPr>
      <w:r>
        <w:rPr>
          <w:rFonts w:asciiTheme="minorHAnsi" w:hAnsiTheme="minorHAnsi"/>
        </w:rPr>
        <w:t xml:space="preserve">Per </w:t>
      </w:r>
      <w:r w:rsidRPr="00D8079F">
        <w:rPr>
          <w:rFonts w:asciiTheme="minorHAnsi" w:hAnsiTheme="minorHAnsi" w:cs="Calibri"/>
          <w:color w:val="000000"/>
          <w:lang w:eastAsia="it-IT"/>
        </w:rPr>
        <w:t xml:space="preserve">alcune misure, la remunerazione </w:t>
      </w:r>
      <w:r>
        <w:rPr>
          <w:rFonts w:asciiTheme="minorHAnsi" w:hAnsiTheme="minorHAnsi" w:cs="Calibri"/>
          <w:color w:val="000000"/>
          <w:lang w:eastAsia="it-IT"/>
        </w:rPr>
        <w:t xml:space="preserve">per l’ente promotore </w:t>
      </w:r>
      <w:r w:rsidRPr="00D8079F">
        <w:rPr>
          <w:rFonts w:asciiTheme="minorHAnsi" w:hAnsiTheme="minorHAnsi" w:cs="Calibri"/>
          <w:color w:val="000000"/>
          <w:lang w:eastAsia="it-IT"/>
        </w:rPr>
        <w:t xml:space="preserve">è stata diversificata sulla base delle diverse categorie di </w:t>
      </w:r>
      <w:proofErr w:type="spellStart"/>
      <w:r w:rsidRPr="00D8079F">
        <w:rPr>
          <w:rFonts w:asciiTheme="minorHAnsi" w:hAnsiTheme="minorHAnsi" w:cs="Calibri"/>
          <w:color w:val="000000"/>
          <w:lang w:eastAsia="it-IT"/>
        </w:rPr>
        <w:t>profilazione</w:t>
      </w:r>
      <w:proofErr w:type="spellEnd"/>
      <w:r w:rsidRPr="00D8079F">
        <w:rPr>
          <w:rFonts w:asciiTheme="minorHAnsi" w:hAnsiTheme="minorHAnsi" w:cs="Calibri"/>
          <w:color w:val="000000"/>
          <w:lang w:eastAsia="it-IT"/>
        </w:rPr>
        <w:t xml:space="preserve">, che prevedono per ciascun giovane preso in carico il calcolo del coefficiente di svantaggio (indice della probabilità di non essere occupato e di trovarsi nella condizione di </w:t>
      </w:r>
      <w:proofErr w:type="spellStart"/>
      <w:r w:rsidRPr="00E77D08">
        <w:rPr>
          <w:rFonts w:asciiTheme="minorHAnsi" w:hAnsiTheme="minorHAnsi" w:cs="Calibri"/>
          <w:i/>
          <w:color w:val="000000"/>
          <w:lang w:eastAsia="it-IT"/>
        </w:rPr>
        <w:t>Neet</w:t>
      </w:r>
      <w:proofErr w:type="spellEnd"/>
      <w:r w:rsidRPr="00D8079F">
        <w:rPr>
          <w:rFonts w:asciiTheme="minorHAnsi" w:hAnsiTheme="minorHAnsi" w:cs="Calibri"/>
          <w:color w:val="000000"/>
          <w:lang w:eastAsia="it-IT"/>
        </w:rPr>
        <w:t>), in funzione di alcune caratteristiche individuali</w:t>
      </w:r>
      <w:r>
        <w:rPr>
          <w:rFonts w:asciiTheme="minorHAnsi" w:hAnsiTheme="minorHAnsi" w:cs="Calibri"/>
          <w:color w:val="000000"/>
          <w:lang w:eastAsia="it-IT"/>
        </w:rPr>
        <w:t>.</w:t>
      </w:r>
    </w:p>
    <w:p w14:paraId="6D91AB22" w14:textId="77777777" w:rsidR="0034125A" w:rsidRPr="0048622A" w:rsidRDefault="0034125A" w:rsidP="00D8079F">
      <w:pPr>
        <w:pStyle w:val="Default"/>
        <w:spacing w:before="120" w:after="120" w:line="276" w:lineRule="auto"/>
        <w:jc w:val="both"/>
        <w:rPr>
          <w:rFonts w:asciiTheme="minorHAnsi" w:hAnsiTheme="minorHAnsi"/>
          <w:sz w:val="22"/>
          <w:szCs w:val="22"/>
        </w:rPr>
      </w:pPr>
      <w:r w:rsidRPr="0048622A">
        <w:rPr>
          <w:rFonts w:asciiTheme="minorHAnsi" w:hAnsiTheme="minorHAnsi"/>
          <w:sz w:val="22"/>
          <w:szCs w:val="22"/>
        </w:rPr>
        <w:t>Per quanto riguarda i costi relativi alla formazione, la metodologia è stata diretta all’individuazione di parametri che valorizzassero la doppia dimensione del costo orario, che fornisce indicazioni in merito al processo formativo, e del costo m</w:t>
      </w:r>
      <w:bookmarkStart w:id="0" w:name="_GoBack"/>
      <w:bookmarkEnd w:id="0"/>
      <w:r w:rsidRPr="0048622A">
        <w:rPr>
          <w:rFonts w:asciiTheme="minorHAnsi" w:hAnsiTheme="minorHAnsi"/>
          <w:sz w:val="22"/>
          <w:szCs w:val="22"/>
        </w:rPr>
        <w:t xml:space="preserve">arginale dell’utenza, che fornisce indicazioni in merito all’esito del percorso in termini di numerosità di beneficiari. </w:t>
      </w:r>
    </w:p>
    <w:p w14:paraId="085F281F" w14:textId="77777777" w:rsidR="0034125A" w:rsidRPr="0048622A" w:rsidRDefault="0034125A" w:rsidP="006E2EA6">
      <w:pPr>
        <w:pStyle w:val="Default"/>
        <w:spacing w:before="120" w:after="120" w:line="276" w:lineRule="auto"/>
        <w:rPr>
          <w:rFonts w:asciiTheme="minorHAnsi" w:hAnsiTheme="minorHAnsi"/>
          <w:sz w:val="22"/>
          <w:szCs w:val="22"/>
        </w:rPr>
      </w:pPr>
      <w:r w:rsidRPr="0048622A">
        <w:rPr>
          <w:rFonts w:asciiTheme="minorHAnsi" w:hAnsiTheme="minorHAnsi"/>
          <w:sz w:val="22"/>
          <w:szCs w:val="22"/>
        </w:rPr>
        <w:t xml:space="preserve">Pertanto, l’analisi ha condotto all’individuazione di due UCS per tutte le tipologie di formazione: </w:t>
      </w:r>
    </w:p>
    <w:p w14:paraId="4592EEF9" w14:textId="77777777" w:rsidR="0034125A" w:rsidRPr="0048622A" w:rsidRDefault="0034125A" w:rsidP="00D8079F">
      <w:pPr>
        <w:pStyle w:val="Default"/>
        <w:numPr>
          <w:ilvl w:val="0"/>
          <w:numId w:val="4"/>
        </w:numPr>
        <w:spacing w:before="120" w:after="120" w:line="276" w:lineRule="auto"/>
        <w:rPr>
          <w:rFonts w:asciiTheme="minorHAnsi" w:hAnsiTheme="minorHAnsi"/>
          <w:sz w:val="22"/>
          <w:szCs w:val="22"/>
        </w:rPr>
      </w:pPr>
      <w:r w:rsidRPr="0048622A">
        <w:rPr>
          <w:rFonts w:asciiTheme="minorHAnsi" w:hAnsiTheme="minorHAnsi"/>
          <w:sz w:val="22"/>
          <w:szCs w:val="22"/>
        </w:rPr>
        <w:t xml:space="preserve">UCS ora corso </w:t>
      </w:r>
    </w:p>
    <w:p w14:paraId="30E6ABC3" w14:textId="40C14E2C" w:rsidR="0034125A" w:rsidRPr="0048622A" w:rsidRDefault="00CD604E" w:rsidP="00D8079F">
      <w:pPr>
        <w:pStyle w:val="Default"/>
        <w:numPr>
          <w:ilvl w:val="0"/>
          <w:numId w:val="4"/>
        </w:numPr>
        <w:spacing w:before="120" w:after="120" w:line="276" w:lineRule="auto"/>
        <w:rPr>
          <w:rFonts w:asciiTheme="minorHAnsi" w:hAnsiTheme="minorHAnsi"/>
          <w:sz w:val="22"/>
          <w:szCs w:val="22"/>
        </w:rPr>
      </w:pPr>
      <w:r>
        <w:rPr>
          <w:rFonts w:asciiTheme="minorHAnsi" w:hAnsiTheme="minorHAnsi"/>
          <w:sz w:val="22"/>
          <w:szCs w:val="22"/>
        </w:rPr>
        <w:t>UCS ora allievo</w:t>
      </w:r>
    </w:p>
    <w:p w14:paraId="1C58217F" w14:textId="77777777" w:rsidR="0034125A" w:rsidRPr="0048622A" w:rsidRDefault="0034125A" w:rsidP="006E2EA6">
      <w:pPr>
        <w:spacing w:before="120" w:after="120" w:line="276" w:lineRule="auto"/>
        <w:jc w:val="both"/>
        <w:rPr>
          <w:rFonts w:asciiTheme="minorHAnsi" w:hAnsiTheme="minorHAnsi"/>
        </w:rPr>
      </w:pPr>
      <w:r w:rsidRPr="0048622A">
        <w:rPr>
          <w:rFonts w:asciiTheme="minorHAnsi" w:hAnsiTheme="minorHAnsi"/>
        </w:rPr>
        <w:t>Tale scelta permette infatti di trascendere le differenze di costo applicabili a percorsi caratterizzati da un numero basso o da un numero alto di allievi, introducendo un parametro moltiplicatore che permette di valutare in maniera coerente e giusta la componente relativa al numero degli allievi.</w:t>
      </w:r>
    </w:p>
    <w:p w14:paraId="055F07ED" w14:textId="19562ACD" w:rsidR="00550348" w:rsidRPr="0048622A" w:rsidRDefault="0034125A" w:rsidP="00D8079F">
      <w:pPr>
        <w:spacing w:before="120" w:after="120" w:line="276" w:lineRule="auto"/>
        <w:jc w:val="both"/>
        <w:rPr>
          <w:rFonts w:asciiTheme="minorHAnsi" w:hAnsiTheme="minorHAnsi"/>
        </w:rPr>
      </w:pPr>
      <w:r w:rsidRPr="0048622A">
        <w:rPr>
          <w:rFonts w:asciiTheme="minorHAnsi" w:hAnsiTheme="minorHAnsi"/>
        </w:rPr>
        <w:t>A seguito della definizione delle UCS, si è deciso di diversificare il valore dell’UCS</w:t>
      </w:r>
      <w:r w:rsidR="00D8079F">
        <w:rPr>
          <w:rFonts w:asciiTheme="minorHAnsi" w:hAnsiTheme="minorHAnsi"/>
        </w:rPr>
        <w:t xml:space="preserve"> ora/</w:t>
      </w:r>
      <w:r w:rsidRPr="0048622A">
        <w:rPr>
          <w:rFonts w:asciiTheme="minorHAnsi" w:hAnsiTheme="minorHAnsi"/>
        </w:rPr>
        <w:t>corso in base al livello di specializzazione della formazione erogata, tramite un sistema di condizionalità che prende in considerazione le tre fasce di livello del personale docente previste dalla Circolare n.</w:t>
      </w:r>
      <w:r w:rsidR="00E77D08">
        <w:rPr>
          <w:rFonts w:asciiTheme="minorHAnsi" w:hAnsiTheme="minorHAnsi"/>
        </w:rPr>
        <w:t xml:space="preserve"> </w:t>
      </w:r>
      <w:r w:rsidRPr="0048622A">
        <w:rPr>
          <w:rFonts w:asciiTheme="minorHAnsi" w:hAnsiTheme="minorHAnsi"/>
        </w:rPr>
        <w:t>2 del 2 febbraio 2009 del Ministero del Lavoro e delle Politiche Social</w:t>
      </w:r>
      <w:r w:rsidR="00D8079F">
        <w:rPr>
          <w:rFonts w:asciiTheme="minorHAnsi" w:hAnsiTheme="minorHAnsi"/>
        </w:rPr>
        <w:t>i.</w:t>
      </w:r>
    </w:p>
    <w:p w14:paraId="29BFB131" w14:textId="77777777" w:rsidR="0034125A" w:rsidRPr="0048622A" w:rsidRDefault="00550348" w:rsidP="006E2EA6">
      <w:pPr>
        <w:spacing w:before="120" w:after="120" w:line="276" w:lineRule="auto"/>
        <w:jc w:val="both"/>
        <w:rPr>
          <w:rFonts w:asciiTheme="minorHAnsi" w:hAnsiTheme="minorHAnsi"/>
        </w:rPr>
      </w:pPr>
      <w:r w:rsidRPr="0048622A">
        <w:rPr>
          <w:rFonts w:asciiTheme="minorHAnsi" w:hAnsiTheme="minorHAnsi"/>
        </w:rPr>
        <w:t>Sono stati definiti i seguenti costi di formazione:</w:t>
      </w:r>
    </w:p>
    <w:p w14:paraId="39FD7114" w14:textId="1C88C2D3" w:rsidR="00550348" w:rsidRPr="0048622A" w:rsidRDefault="00550348" w:rsidP="006E2EA6">
      <w:pPr>
        <w:pStyle w:val="Paragrafoelenco"/>
        <w:numPr>
          <w:ilvl w:val="0"/>
          <w:numId w:val="4"/>
        </w:numPr>
        <w:spacing w:before="120" w:after="120" w:line="276" w:lineRule="auto"/>
        <w:jc w:val="both"/>
        <w:rPr>
          <w:rFonts w:asciiTheme="minorHAnsi" w:hAnsiTheme="minorHAnsi"/>
          <w:sz w:val="22"/>
          <w:szCs w:val="22"/>
        </w:rPr>
      </w:pPr>
      <w:bookmarkStart w:id="1" w:name="_Toc424571911"/>
      <w:r w:rsidRPr="0048622A">
        <w:rPr>
          <w:rFonts w:asciiTheme="minorHAnsi" w:hAnsiTheme="minorHAnsi"/>
          <w:sz w:val="22"/>
          <w:szCs w:val="22"/>
        </w:rPr>
        <w:t>Formazione mirata all’inserimento lavorativo</w:t>
      </w:r>
      <w:bookmarkEnd w:id="1"/>
      <w:r w:rsidR="00D8079F">
        <w:rPr>
          <w:rFonts w:asciiTheme="minorHAnsi" w:hAnsiTheme="minorHAnsi"/>
          <w:sz w:val="22"/>
          <w:szCs w:val="22"/>
        </w:rPr>
        <w:t>;</w:t>
      </w:r>
    </w:p>
    <w:p w14:paraId="4AE7E2A8" w14:textId="45A6CE9A" w:rsidR="00550348" w:rsidRPr="0048622A" w:rsidRDefault="00550348" w:rsidP="006E2EA6">
      <w:pPr>
        <w:pStyle w:val="Paragrafoelenco"/>
        <w:numPr>
          <w:ilvl w:val="0"/>
          <w:numId w:val="4"/>
        </w:numPr>
        <w:spacing w:before="120" w:after="120" w:line="276" w:lineRule="auto"/>
        <w:jc w:val="both"/>
        <w:rPr>
          <w:rFonts w:asciiTheme="minorHAnsi" w:hAnsiTheme="minorHAnsi"/>
          <w:sz w:val="22"/>
          <w:szCs w:val="22"/>
        </w:rPr>
      </w:pPr>
      <w:bookmarkStart w:id="2" w:name="_Toc424571920"/>
      <w:r w:rsidRPr="0048622A">
        <w:rPr>
          <w:rFonts w:asciiTheme="minorHAnsi" w:hAnsiTheme="minorHAnsi"/>
          <w:sz w:val="22"/>
          <w:szCs w:val="22"/>
        </w:rPr>
        <w:t>Reinserimento di giovani 15-18enni in percorsi formativi</w:t>
      </w:r>
      <w:bookmarkEnd w:id="2"/>
      <w:r w:rsidR="00D8079F">
        <w:rPr>
          <w:rFonts w:asciiTheme="minorHAnsi" w:hAnsiTheme="minorHAnsi"/>
          <w:sz w:val="22"/>
          <w:szCs w:val="22"/>
        </w:rPr>
        <w:t>;</w:t>
      </w:r>
    </w:p>
    <w:p w14:paraId="56D30248" w14:textId="77777777" w:rsidR="00D8079F" w:rsidRPr="00D8079F" w:rsidRDefault="00550348" w:rsidP="006E2EA6">
      <w:pPr>
        <w:pStyle w:val="Paragrafoelenco"/>
        <w:numPr>
          <w:ilvl w:val="0"/>
          <w:numId w:val="4"/>
        </w:numPr>
        <w:spacing w:before="120" w:after="120" w:line="276" w:lineRule="auto"/>
        <w:jc w:val="both"/>
        <w:rPr>
          <w:rFonts w:asciiTheme="minorHAnsi" w:hAnsiTheme="minorHAnsi"/>
        </w:rPr>
      </w:pPr>
      <w:r w:rsidRPr="00D8079F">
        <w:rPr>
          <w:rFonts w:asciiTheme="minorHAnsi" w:hAnsiTheme="minorHAnsi"/>
          <w:sz w:val="22"/>
          <w:szCs w:val="22"/>
        </w:rPr>
        <w:t xml:space="preserve">Apprendistato </w:t>
      </w:r>
      <w:bookmarkStart w:id="3" w:name="_Toc424571938"/>
      <w:r w:rsidRPr="00D8079F">
        <w:rPr>
          <w:rFonts w:asciiTheme="minorHAnsi" w:hAnsiTheme="minorHAnsi"/>
          <w:sz w:val="22"/>
          <w:szCs w:val="22"/>
        </w:rPr>
        <w:t>per la qualifica e per il diploma professionale</w:t>
      </w:r>
      <w:bookmarkEnd w:id="3"/>
      <w:r w:rsidR="00D8079F" w:rsidRPr="00D8079F">
        <w:rPr>
          <w:rFonts w:asciiTheme="minorHAnsi" w:hAnsiTheme="minorHAnsi"/>
          <w:sz w:val="22"/>
          <w:szCs w:val="22"/>
        </w:rPr>
        <w:t>;</w:t>
      </w:r>
    </w:p>
    <w:p w14:paraId="1068A31E" w14:textId="67838CE9" w:rsidR="00D8079F" w:rsidRPr="00D8079F" w:rsidRDefault="00550348" w:rsidP="006E2EA6">
      <w:pPr>
        <w:pStyle w:val="Paragrafoelenco"/>
        <w:numPr>
          <w:ilvl w:val="0"/>
          <w:numId w:val="4"/>
        </w:numPr>
        <w:spacing w:before="120" w:after="120" w:line="276" w:lineRule="auto"/>
        <w:jc w:val="both"/>
        <w:rPr>
          <w:rFonts w:asciiTheme="minorHAnsi" w:hAnsiTheme="minorHAnsi"/>
        </w:rPr>
      </w:pPr>
      <w:r w:rsidRPr="00E77D08">
        <w:rPr>
          <w:rFonts w:asciiTheme="minorHAnsi" w:hAnsiTheme="minorHAnsi"/>
          <w:sz w:val="22"/>
          <w:szCs w:val="22"/>
        </w:rPr>
        <w:t xml:space="preserve">Apprendistato per </w:t>
      </w:r>
      <w:r w:rsidR="00D8079F" w:rsidRPr="00E77D08">
        <w:rPr>
          <w:rFonts w:asciiTheme="minorHAnsi" w:hAnsiTheme="minorHAnsi"/>
          <w:sz w:val="22"/>
          <w:szCs w:val="22"/>
        </w:rPr>
        <w:t>l’alta formazione e la ricerca</w:t>
      </w:r>
      <w:r w:rsidR="00D8079F" w:rsidRPr="00D8079F">
        <w:rPr>
          <w:rFonts w:asciiTheme="minorHAnsi" w:hAnsiTheme="minorHAnsi"/>
        </w:rPr>
        <w:t>.</w:t>
      </w:r>
    </w:p>
    <w:p w14:paraId="3D3554C4" w14:textId="23946F9E" w:rsidR="00385C63" w:rsidRPr="0048622A" w:rsidRDefault="00385C63" w:rsidP="006E2EA6">
      <w:pPr>
        <w:spacing w:before="120" w:after="120" w:line="276" w:lineRule="auto"/>
        <w:jc w:val="both"/>
        <w:rPr>
          <w:rFonts w:asciiTheme="minorHAnsi" w:hAnsiTheme="minorHAnsi"/>
        </w:rPr>
      </w:pPr>
      <w:r w:rsidRPr="0048622A">
        <w:rPr>
          <w:rFonts w:asciiTheme="minorHAnsi" w:hAnsiTheme="minorHAnsi"/>
        </w:rPr>
        <w:t>Allo stato attuale, per ripercorrere il processo</w:t>
      </w:r>
      <w:r w:rsidR="00610C34" w:rsidRPr="0048622A">
        <w:rPr>
          <w:rFonts w:asciiTheme="minorHAnsi" w:hAnsiTheme="minorHAnsi"/>
        </w:rPr>
        <w:t xml:space="preserve">, </w:t>
      </w:r>
      <w:r w:rsidR="004A1337" w:rsidRPr="0048622A">
        <w:rPr>
          <w:rFonts w:asciiTheme="minorHAnsi" w:hAnsiTheme="minorHAnsi"/>
        </w:rPr>
        <w:t xml:space="preserve">la metodologia per il calcolo delle Unità Costi Standard nazionali per il Programma Operativo Nazionale Iniziativa Occupazione Giovani (PON IOG) è stata inviata alla Commissione Europea </w:t>
      </w:r>
      <w:r w:rsidR="00E77D08">
        <w:rPr>
          <w:rFonts w:asciiTheme="minorHAnsi" w:hAnsiTheme="minorHAnsi"/>
        </w:rPr>
        <w:t xml:space="preserve">il </w:t>
      </w:r>
      <w:r w:rsidR="004A1337" w:rsidRPr="0048622A">
        <w:rPr>
          <w:rFonts w:asciiTheme="minorHAnsi" w:hAnsiTheme="minorHAnsi"/>
        </w:rPr>
        <w:t>1</w:t>
      </w:r>
      <w:r w:rsidR="00E77D08">
        <w:rPr>
          <w:rFonts w:asciiTheme="minorHAnsi" w:hAnsiTheme="minorHAnsi"/>
        </w:rPr>
        <w:t>°</w:t>
      </w:r>
      <w:r w:rsidR="004A1337" w:rsidRPr="0048622A">
        <w:rPr>
          <w:rFonts w:asciiTheme="minorHAnsi" w:hAnsiTheme="minorHAnsi"/>
        </w:rPr>
        <w:t xml:space="preserve"> aprile 2014, avviando a tutti gli effetti la procedura di cui all’art. 67 del Regolamento (UE) 1303/2013. In data 30/04/2014 la CE ha dato un riscontro positivo alla metodologia inviata</w:t>
      </w:r>
      <w:r w:rsidR="00D8079F">
        <w:rPr>
          <w:rFonts w:asciiTheme="minorHAnsi" w:hAnsiTheme="minorHAnsi"/>
        </w:rPr>
        <w:t>,</w:t>
      </w:r>
      <w:r w:rsidR="004E10D2">
        <w:rPr>
          <w:rFonts w:asciiTheme="minorHAnsi" w:hAnsiTheme="minorHAnsi"/>
        </w:rPr>
        <w:t xml:space="preserve"> ad agosto 2014</w:t>
      </w:r>
      <w:r w:rsidR="004A1337" w:rsidRPr="0048622A">
        <w:rPr>
          <w:rFonts w:asciiTheme="minorHAnsi" w:hAnsiTheme="minorHAnsi"/>
        </w:rPr>
        <w:t xml:space="preserve"> </w:t>
      </w:r>
      <w:r w:rsidR="00D8079F">
        <w:rPr>
          <w:rFonts w:asciiTheme="minorHAnsi" w:hAnsiTheme="minorHAnsi"/>
        </w:rPr>
        <w:t>il MLPS ha proceduto ad un nuovo invio del</w:t>
      </w:r>
      <w:r w:rsidR="004A1337" w:rsidRPr="0048622A">
        <w:rPr>
          <w:rFonts w:asciiTheme="minorHAnsi" w:hAnsiTheme="minorHAnsi"/>
        </w:rPr>
        <w:t xml:space="preserve">la metodologia secondo il modello individuato dalla fiche 21 “Model of </w:t>
      </w:r>
      <w:proofErr w:type="spellStart"/>
      <w:r w:rsidR="004A1337" w:rsidRPr="0048622A">
        <w:rPr>
          <w:rFonts w:asciiTheme="minorHAnsi" w:hAnsiTheme="minorHAnsi"/>
        </w:rPr>
        <w:t>delegated</w:t>
      </w:r>
      <w:proofErr w:type="spellEnd"/>
      <w:r w:rsidR="004A1337" w:rsidRPr="0048622A">
        <w:rPr>
          <w:rFonts w:asciiTheme="minorHAnsi" w:hAnsiTheme="minorHAnsi"/>
        </w:rPr>
        <w:t xml:space="preserve"> </w:t>
      </w:r>
      <w:proofErr w:type="spellStart"/>
      <w:r w:rsidR="004A1337" w:rsidRPr="0048622A">
        <w:rPr>
          <w:rFonts w:asciiTheme="minorHAnsi" w:hAnsiTheme="minorHAnsi"/>
        </w:rPr>
        <w:t>acts</w:t>
      </w:r>
      <w:proofErr w:type="spellEnd"/>
      <w:r w:rsidR="004A1337" w:rsidRPr="0048622A">
        <w:rPr>
          <w:rFonts w:asciiTheme="minorHAnsi" w:hAnsiTheme="minorHAnsi"/>
        </w:rPr>
        <w:t xml:space="preserve"> </w:t>
      </w:r>
      <w:proofErr w:type="spellStart"/>
      <w:r w:rsidR="004A1337" w:rsidRPr="0048622A">
        <w:rPr>
          <w:rFonts w:asciiTheme="minorHAnsi" w:hAnsiTheme="minorHAnsi"/>
        </w:rPr>
        <w:t>setting</w:t>
      </w:r>
      <w:proofErr w:type="spellEnd"/>
      <w:r w:rsidR="004A1337" w:rsidRPr="0048622A">
        <w:rPr>
          <w:rFonts w:asciiTheme="minorHAnsi" w:hAnsiTheme="minorHAnsi"/>
        </w:rPr>
        <w:t xml:space="preserve"> out standard </w:t>
      </w:r>
      <w:proofErr w:type="spellStart"/>
      <w:r w:rsidR="004A1337" w:rsidRPr="0048622A">
        <w:rPr>
          <w:rFonts w:asciiTheme="minorHAnsi" w:hAnsiTheme="minorHAnsi"/>
        </w:rPr>
        <w:t>scales</w:t>
      </w:r>
      <w:proofErr w:type="spellEnd"/>
      <w:r w:rsidR="004A1337" w:rsidRPr="0048622A">
        <w:rPr>
          <w:rFonts w:asciiTheme="minorHAnsi" w:hAnsiTheme="minorHAnsi"/>
        </w:rPr>
        <w:t xml:space="preserve"> of </w:t>
      </w:r>
      <w:proofErr w:type="spellStart"/>
      <w:r w:rsidR="004A1337" w:rsidRPr="0048622A">
        <w:rPr>
          <w:rFonts w:asciiTheme="minorHAnsi" w:hAnsiTheme="minorHAnsi"/>
        </w:rPr>
        <w:t>unit</w:t>
      </w:r>
      <w:proofErr w:type="spellEnd"/>
      <w:r w:rsidR="004A1337" w:rsidRPr="0048622A">
        <w:rPr>
          <w:rFonts w:asciiTheme="minorHAnsi" w:hAnsiTheme="minorHAnsi"/>
        </w:rPr>
        <w:t xml:space="preserve"> </w:t>
      </w:r>
      <w:proofErr w:type="spellStart"/>
      <w:r w:rsidR="004A1337" w:rsidRPr="0048622A">
        <w:rPr>
          <w:rFonts w:asciiTheme="minorHAnsi" w:hAnsiTheme="minorHAnsi"/>
        </w:rPr>
        <w:t>costs</w:t>
      </w:r>
      <w:proofErr w:type="spellEnd"/>
      <w:r w:rsidR="004A1337" w:rsidRPr="0048622A">
        <w:rPr>
          <w:rFonts w:asciiTheme="minorHAnsi" w:hAnsiTheme="minorHAnsi"/>
        </w:rPr>
        <w:t xml:space="preserve"> and </w:t>
      </w:r>
      <w:proofErr w:type="spellStart"/>
      <w:r w:rsidR="004A1337" w:rsidRPr="0048622A">
        <w:rPr>
          <w:rFonts w:asciiTheme="minorHAnsi" w:hAnsiTheme="minorHAnsi"/>
        </w:rPr>
        <w:t>lump</w:t>
      </w:r>
      <w:proofErr w:type="spellEnd"/>
      <w:r w:rsidR="004A1337" w:rsidRPr="0048622A">
        <w:rPr>
          <w:rFonts w:asciiTheme="minorHAnsi" w:hAnsiTheme="minorHAnsi"/>
        </w:rPr>
        <w:t xml:space="preserve"> </w:t>
      </w:r>
      <w:proofErr w:type="spellStart"/>
      <w:r w:rsidR="004A1337" w:rsidRPr="0048622A">
        <w:rPr>
          <w:rFonts w:asciiTheme="minorHAnsi" w:hAnsiTheme="minorHAnsi"/>
        </w:rPr>
        <w:t>sums</w:t>
      </w:r>
      <w:proofErr w:type="spellEnd"/>
      <w:r w:rsidR="004A1337" w:rsidRPr="0048622A">
        <w:rPr>
          <w:rFonts w:asciiTheme="minorHAnsi" w:hAnsiTheme="minorHAnsi"/>
        </w:rPr>
        <w:t xml:space="preserve"> </w:t>
      </w:r>
      <w:proofErr w:type="spellStart"/>
      <w:r w:rsidR="004A1337" w:rsidRPr="0048622A">
        <w:rPr>
          <w:rFonts w:asciiTheme="minorHAnsi" w:hAnsiTheme="minorHAnsi"/>
        </w:rPr>
        <w:t>defined</w:t>
      </w:r>
      <w:proofErr w:type="spellEnd"/>
      <w:r w:rsidR="004A1337" w:rsidRPr="0048622A">
        <w:rPr>
          <w:rFonts w:asciiTheme="minorHAnsi" w:hAnsiTheme="minorHAnsi"/>
        </w:rPr>
        <w:t xml:space="preserve"> by the </w:t>
      </w:r>
      <w:proofErr w:type="spellStart"/>
      <w:r w:rsidR="004A1337" w:rsidRPr="0048622A">
        <w:rPr>
          <w:rFonts w:asciiTheme="minorHAnsi" w:hAnsiTheme="minorHAnsi"/>
        </w:rPr>
        <w:t>Commission</w:t>
      </w:r>
      <w:proofErr w:type="spellEnd"/>
      <w:r w:rsidR="004A1337" w:rsidRPr="0048622A">
        <w:rPr>
          <w:rFonts w:asciiTheme="minorHAnsi" w:hAnsiTheme="minorHAnsi"/>
        </w:rPr>
        <w:t>”</w:t>
      </w:r>
      <w:r w:rsidR="00D8079F">
        <w:rPr>
          <w:rFonts w:asciiTheme="minorHAnsi" w:hAnsiTheme="minorHAnsi"/>
        </w:rPr>
        <w:t>.</w:t>
      </w:r>
      <w:r w:rsidR="004A1337" w:rsidRPr="0048622A">
        <w:rPr>
          <w:rFonts w:asciiTheme="minorHAnsi" w:hAnsiTheme="minorHAnsi"/>
        </w:rPr>
        <w:t xml:space="preserve"> </w:t>
      </w:r>
      <w:r w:rsidR="00D8079F">
        <w:rPr>
          <w:rFonts w:asciiTheme="minorHAnsi" w:hAnsiTheme="minorHAnsi"/>
        </w:rPr>
        <w:t xml:space="preserve">Riteniamo quindi </w:t>
      </w:r>
      <w:r w:rsidRPr="0048622A">
        <w:rPr>
          <w:rFonts w:asciiTheme="minorHAnsi" w:hAnsiTheme="minorHAnsi"/>
        </w:rPr>
        <w:t>che ci sia ancora bisogno di due, tre mesi per arrivare alla definizione a un pronunciamento della Commissione sulla metodologia applicata, anche a prescindere dai tempi di pubblicazione delle linee guida della Commissione sulla semplificazione dei costi</w:t>
      </w:r>
      <w:r w:rsidR="004A1337" w:rsidRPr="0048622A">
        <w:rPr>
          <w:rStyle w:val="Rimandonotaapidipagina"/>
          <w:rFonts w:asciiTheme="minorHAnsi" w:hAnsiTheme="minorHAnsi"/>
        </w:rPr>
        <w:footnoteReference w:id="1"/>
      </w:r>
      <w:r w:rsidRPr="0048622A">
        <w:rPr>
          <w:rFonts w:asciiTheme="minorHAnsi" w:hAnsiTheme="minorHAnsi"/>
        </w:rPr>
        <w:t xml:space="preserve">. </w:t>
      </w:r>
    </w:p>
    <w:p w14:paraId="59BAE9C7" w14:textId="1B08750A" w:rsidR="00385C63" w:rsidRPr="0048622A" w:rsidRDefault="00385C63" w:rsidP="009F3CCB">
      <w:pPr>
        <w:jc w:val="both"/>
        <w:rPr>
          <w:rFonts w:asciiTheme="minorHAnsi" w:hAnsiTheme="minorHAnsi"/>
        </w:rPr>
      </w:pPr>
    </w:p>
    <w:sectPr w:rsidR="00385C63" w:rsidRPr="0048622A" w:rsidSect="002A68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6EF54" w14:textId="77777777" w:rsidR="00A40D86" w:rsidRDefault="00A40D86" w:rsidP="004A1337">
      <w:pPr>
        <w:spacing w:after="0" w:line="240" w:lineRule="auto"/>
      </w:pPr>
      <w:r>
        <w:separator/>
      </w:r>
    </w:p>
  </w:endnote>
  <w:endnote w:type="continuationSeparator" w:id="0">
    <w:p w14:paraId="1D488121" w14:textId="77777777" w:rsidR="00A40D86" w:rsidRDefault="00A40D86" w:rsidP="004A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DEAA9" w14:textId="77777777" w:rsidR="00A40D86" w:rsidRDefault="00A40D86" w:rsidP="004A1337">
      <w:pPr>
        <w:spacing w:after="0" w:line="240" w:lineRule="auto"/>
      </w:pPr>
      <w:r>
        <w:separator/>
      </w:r>
    </w:p>
  </w:footnote>
  <w:footnote w:type="continuationSeparator" w:id="0">
    <w:p w14:paraId="1A056F4A" w14:textId="77777777" w:rsidR="00A40D86" w:rsidRDefault="00A40D86" w:rsidP="004A1337">
      <w:pPr>
        <w:spacing w:after="0" w:line="240" w:lineRule="auto"/>
      </w:pPr>
      <w:r>
        <w:continuationSeparator/>
      </w:r>
    </w:p>
  </w:footnote>
  <w:footnote w:id="1">
    <w:p w14:paraId="46CE84C1" w14:textId="77777777" w:rsidR="004A1337" w:rsidRPr="00D8079F" w:rsidRDefault="004A1337" w:rsidP="00D8079F">
      <w:pPr>
        <w:spacing w:before="120" w:after="240" w:line="276" w:lineRule="auto"/>
        <w:jc w:val="both"/>
        <w:rPr>
          <w:sz w:val="20"/>
        </w:rPr>
      </w:pPr>
      <w:r w:rsidRPr="00D8079F">
        <w:rPr>
          <w:rStyle w:val="Rimandonotaapidipagina"/>
          <w:sz w:val="20"/>
        </w:rPr>
        <w:footnoteRef/>
      </w:r>
      <w:r w:rsidRPr="00D8079F">
        <w:rPr>
          <w:sz w:val="20"/>
        </w:rPr>
        <w:t xml:space="preserve"> Attualmente, i costi semplificati per il PON IOG sono già ampiamente in uso su diversi avvisi pubblicati da tempo dalle Regioni. Il Ministero</w:t>
      </w:r>
      <w:r w:rsidR="00DE62B5" w:rsidRPr="00D8079F">
        <w:rPr>
          <w:sz w:val="20"/>
        </w:rPr>
        <w:t>, in seguito ad una specifica richiesta della Commissione Europea, ha provveduto ad allargare la base dati per il calcolo dei costi standard ed</w:t>
      </w:r>
      <w:r w:rsidRPr="00D8079F">
        <w:rPr>
          <w:sz w:val="20"/>
        </w:rPr>
        <w:t xml:space="preserve"> è </w:t>
      </w:r>
      <w:r w:rsidR="00DE62B5" w:rsidRPr="00D8079F">
        <w:rPr>
          <w:sz w:val="20"/>
        </w:rPr>
        <w:t xml:space="preserve">attualmente </w:t>
      </w:r>
      <w:r w:rsidRPr="00D8079F">
        <w:rPr>
          <w:sz w:val="20"/>
        </w:rPr>
        <w:t xml:space="preserve">in attesa di approvazione del documento metodologico </w:t>
      </w:r>
    </w:p>
    <w:p w14:paraId="7BC7CD48" w14:textId="77777777" w:rsidR="004A1337" w:rsidRDefault="004A1337">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40B8C"/>
    <w:multiLevelType w:val="hybridMultilevel"/>
    <w:tmpl w:val="84448CCA"/>
    <w:lvl w:ilvl="0" w:tplc="FEF6DB7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665FB"/>
    <w:multiLevelType w:val="hybridMultilevel"/>
    <w:tmpl w:val="51CC7B58"/>
    <w:lvl w:ilvl="0" w:tplc="177438C8">
      <w:start w:val="2"/>
      <w:numFmt w:val="bullet"/>
      <w:lvlText w:val="-"/>
      <w:lvlJc w:val="left"/>
      <w:pPr>
        <w:ind w:left="644"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066837"/>
    <w:multiLevelType w:val="hybridMultilevel"/>
    <w:tmpl w:val="CEFE6C26"/>
    <w:lvl w:ilvl="0" w:tplc="2C645D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C50689"/>
    <w:multiLevelType w:val="hybridMultilevel"/>
    <w:tmpl w:val="BB5061F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11A4C09"/>
    <w:multiLevelType w:val="hybridMultilevel"/>
    <w:tmpl w:val="167863E4"/>
    <w:lvl w:ilvl="0" w:tplc="A544CB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EE"/>
    <w:rsid w:val="000003B5"/>
    <w:rsid w:val="00004C86"/>
    <w:rsid w:val="00021963"/>
    <w:rsid w:val="002A6850"/>
    <w:rsid w:val="002C4272"/>
    <w:rsid w:val="002C689E"/>
    <w:rsid w:val="0034125A"/>
    <w:rsid w:val="00364DE0"/>
    <w:rsid w:val="00385C63"/>
    <w:rsid w:val="0039613C"/>
    <w:rsid w:val="004169FA"/>
    <w:rsid w:val="0048622A"/>
    <w:rsid w:val="004A1337"/>
    <w:rsid w:val="004E04CE"/>
    <w:rsid w:val="004E10D2"/>
    <w:rsid w:val="00550348"/>
    <w:rsid w:val="00610C34"/>
    <w:rsid w:val="00636E2D"/>
    <w:rsid w:val="00657195"/>
    <w:rsid w:val="006E2EA6"/>
    <w:rsid w:val="007046B3"/>
    <w:rsid w:val="0071156D"/>
    <w:rsid w:val="00877B67"/>
    <w:rsid w:val="008C1771"/>
    <w:rsid w:val="008E21F5"/>
    <w:rsid w:val="0090661C"/>
    <w:rsid w:val="009F3CCB"/>
    <w:rsid w:val="00A23AC8"/>
    <w:rsid w:val="00A40D86"/>
    <w:rsid w:val="00A43B5D"/>
    <w:rsid w:val="00CD604E"/>
    <w:rsid w:val="00D371EE"/>
    <w:rsid w:val="00D8079F"/>
    <w:rsid w:val="00DD76B5"/>
    <w:rsid w:val="00DE62B5"/>
    <w:rsid w:val="00E77D08"/>
    <w:rsid w:val="00F40191"/>
    <w:rsid w:val="00F4365D"/>
    <w:rsid w:val="00F62FB5"/>
    <w:rsid w:val="00FC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38FD8"/>
  <w15:docId w15:val="{A4F5A23C-4947-4538-8B30-29DD66B9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6850"/>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A13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1337"/>
    <w:rPr>
      <w:sz w:val="20"/>
      <w:szCs w:val="20"/>
      <w:lang w:eastAsia="en-US"/>
    </w:rPr>
  </w:style>
  <w:style w:type="character" w:styleId="Rimandonotaapidipagina">
    <w:name w:val="footnote reference"/>
    <w:basedOn w:val="Carpredefinitoparagrafo"/>
    <w:uiPriority w:val="99"/>
    <w:semiHidden/>
    <w:unhideWhenUsed/>
    <w:rsid w:val="004A1337"/>
    <w:rPr>
      <w:vertAlign w:val="superscript"/>
    </w:rPr>
  </w:style>
  <w:style w:type="paragraph" w:styleId="Paragrafoelenco">
    <w:name w:val="List Paragraph"/>
    <w:basedOn w:val="Normale"/>
    <w:uiPriority w:val="99"/>
    <w:qFormat/>
    <w:rsid w:val="004A1337"/>
    <w:pPr>
      <w:spacing w:after="0" w:line="240" w:lineRule="auto"/>
      <w:ind w:left="720"/>
      <w:contextualSpacing/>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4A13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1337"/>
    <w:rPr>
      <w:rFonts w:ascii="Segoe UI" w:hAnsi="Segoe UI" w:cs="Segoe UI"/>
      <w:sz w:val="18"/>
      <w:szCs w:val="18"/>
      <w:lang w:eastAsia="en-US"/>
    </w:rPr>
  </w:style>
  <w:style w:type="paragraph" w:customStyle="1" w:styleId="Default">
    <w:name w:val="Default"/>
    <w:rsid w:val="00657195"/>
    <w:pPr>
      <w:autoSpaceDE w:val="0"/>
      <w:autoSpaceDN w:val="0"/>
      <w:adjustRightInd w:val="0"/>
    </w:pPr>
    <w:rPr>
      <w:rFonts w:cs="Calibri"/>
      <w:color w:val="000000"/>
      <w:sz w:val="24"/>
      <w:szCs w:val="24"/>
    </w:rPr>
  </w:style>
  <w:style w:type="paragraph" w:styleId="NormaleWeb">
    <w:name w:val="Normal (Web)"/>
    <w:basedOn w:val="Normale"/>
    <w:uiPriority w:val="99"/>
    <w:semiHidden/>
    <w:unhideWhenUsed/>
    <w:rsid w:val="009F3CCB"/>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550348"/>
    <w:rPr>
      <w:sz w:val="16"/>
      <w:szCs w:val="16"/>
    </w:rPr>
  </w:style>
  <w:style w:type="paragraph" w:styleId="Testocommento">
    <w:name w:val="annotation text"/>
    <w:basedOn w:val="Normale"/>
    <w:link w:val="TestocommentoCarattere"/>
    <w:uiPriority w:val="99"/>
    <w:semiHidden/>
    <w:unhideWhenUsed/>
    <w:rsid w:val="005503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50348"/>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550348"/>
    <w:rPr>
      <w:b/>
      <w:bCs/>
    </w:rPr>
  </w:style>
  <w:style w:type="character" w:customStyle="1" w:styleId="SoggettocommentoCarattere">
    <w:name w:val="Soggetto commento Carattere"/>
    <w:basedOn w:val="TestocommentoCarattere"/>
    <w:link w:val="Soggettocommento"/>
    <w:uiPriority w:val="99"/>
    <w:semiHidden/>
    <w:rsid w:val="0055034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98386">
      <w:bodyDiv w:val="1"/>
      <w:marLeft w:val="0"/>
      <w:marRight w:val="0"/>
      <w:marTop w:val="0"/>
      <w:marBottom w:val="0"/>
      <w:divBdr>
        <w:top w:val="none" w:sz="0" w:space="0" w:color="auto"/>
        <w:left w:val="none" w:sz="0" w:space="0" w:color="auto"/>
        <w:bottom w:val="none" w:sz="0" w:space="0" w:color="auto"/>
        <w:right w:val="none" w:sz="0" w:space="0" w:color="auto"/>
      </w:divBdr>
    </w:div>
    <w:div w:id="888996359">
      <w:bodyDiv w:val="1"/>
      <w:marLeft w:val="0"/>
      <w:marRight w:val="0"/>
      <w:marTop w:val="0"/>
      <w:marBottom w:val="0"/>
      <w:divBdr>
        <w:top w:val="none" w:sz="0" w:space="0" w:color="auto"/>
        <w:left w:val="none" w:sz="0" w:space="0" w:color="auto"/>
        <w:bottom w:val="none" w:sz="0" w:space="0" w:color="auto"/>
        <w:right w:val="none" w:sz="0" w:space="0" w:color="auto"/>
      </w:divBdr>
    </w:div>
    <w:div w:id="1204094602">
      <w:bodyDiv w:val="1"/>
      <w:marLeft w:val="0"/>
      <w:marRight w:val="0"/>
      <w:marTop w:val="0"/>
      <w:marBottom w:val="0"/>
      <w:divBdr>
        <w:top w:val="none" w:sz="0" w:space="0" w:color="auto"/>
        <w:left w:val="none" w:sz="0" w:space="0" w:color="auto"/>
        <w:bottom w:val="none" w:sz="0" w:space="0" w:color="auto"/>
        <w:right w:val="none" w:sz="0" w:space="0" w:color="auto"/>
      </w:divBdr>
    </w:div>
    <w:div w:id="1337002508">
      <w:bodyDiv w:val="1"/>
      <w:marLeft w:val="0"/>
      <w:marRight w:val="0"/>
      <w:marTop w:val="0"/>
      <w:marBottom w:val="0"/>
      <w:divBdr>
        <w:top w:val="none" w:sz="0" w:space="0" w:color="auto"/>
        <w:left w:val="none" w:sz="0" w:space="0" w:color="auto"/>
        <w:bottom w:val="none" w:sz="0" w:space="0" w:color="auto"/>
        <w:right w:val="none" w:sz="0" w:space="0" w:color="auto"/>
      </w:divBdr>
    </w:div>
    <w:div w:id="1672022943">
      <w:bodyDiv w:val="1"/>
      <w:marLeft w:val="0"/>
      <w:marRight w:val="0"/>
      <w:marTop w:val="0"/>
      <w:marBottom w:val="0"/>
      <w:divBdr>
        <w:top w:val="none" w:sz="0" w:space="0" w:color="auto"/>
        <w:left w:val="none" w:sz="0" w:space="0" w:color="auto"/>
        <w:bottom w:val="none" w:sz="0" w:space="0" w:color="auto"/>
        <w:right w:val="none" w:sz="0" w:space="0" w:color="auto"/>
      </w:divBdr>
    </w:div>
    <w:div w:id="16736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7EF0-5ED9-4B37-B9BD-A6DFB546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1015</Words>
  <Characters>5865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Giulia Platone</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Giulia Platone</dc:title>
  <dc:creator>Roberta Giangiorgi</dc:creator>
  <cp:lastModifiedBy>Roberta Giangiorgi</cp:lastModifiedBy>
  <cp:revision>4</cp:revision>
  <dcterms:created xsi:type="dcterms:W3CDTF">2015-09-03T14:47:00Z</dcterms:created>
  <dcterms:modified xsi:type="dcterms:W3CDTF">2015-09-24T15:22:00Z</dcterms:modified>
</cp:coreProperties>
</file>